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A3CA3" w:rsidTr="00DF6056">
        <w:tc>
          <w:tcPr>
            <w:tcW w:w="10080" w:type="dxa"/>
            <w:shd w:val="clear" w:color="auto" w:fill="auto"/>
          </w:tcPr>
          <w:p w:rsidR="00FA3CA3" w:rsidRPr="00936206" w:rsidRDefault="00BB6EB0" w:rsidP="00BB6EB0">
            <w:pPr>
              <w:spacing w:line="240" w:lineRule="auto"/>
              <w:ind w:firstLine="360"/>
              <w:jc w:val="right"/>
              <w:rPr>
                <w:b/>
              </w:rPr>
            </w:pPr>
            <w:bookmarkStart w:id="0" w:name="_GoBack"/>
            <w:bookmarkEnd w:id="0"/>
            <w:r>
              <w:rPr>
                <w:b/>
              </w:rPr>
              <w:t>Неофициальный перевод</w:t>
            </w:r>
          </w:p>
          <w:p w:rsidR="00FA3CA3" w:rsidRPr="00BB6EB0" w:rsidRDefault="00FA3CA3" w:rsidP="00DF6056">
            <w:pPr>
              <w:spacing w:line="240" w:lineRule="auto"/>
              <w:ind w:firstLine="360"/>
              <w:jc w:val="center"/>
              <w:rPr>
                <w:lang w:val="en-US"/>
              </w:rPr>
            </w:pPr>
            <w:r w:rsidRPr="00BB6EB0">
              <w:rPr>
                <w:lang w:val="en-US"/>
              </w:rPr>
              <w:t xml:space="preserve">                                                                                                          </w:t>
            </w:r>
            <w:r w:rsidR="009111DD">
              <w:rPr>
                <w:lang w:val="en-US"/>
              </w:rPr>
              <w:t>DRAFT</w:t>
            </w:r>
          </w:p>
          <w:p w:rsidR="00FA3CA3" w:rsidRPr="00BB6EB0" w:rsidRDefault="00FA3CA3" w:rsidP="00DF6056">
            <w:pPr>
              <w:spacing w:line="240" w:lineRule="auto"/>
              <w:ind w:firstLine="360"/>
              <w:jc w:val="center"/>
              <w:rPr>
                <w:b/>
                <w:lang w:val="en-US"/>
              </w:rPr>
            </w:pPr>
          </w:p>
          <w:p w:rsidR="00FA3CA3" w:rsidRPr="00BB6EB0" w:rsidRDefault="009111DD" w:rsidP="00FA3CA3">
            <w:pPr>
              <w:spacing w:line="240" w:lineRule="auto"/>
              <w:ind w:firstLine="0"/>
              <w:jc w:val="center"/>
              <w:rPr>
                <w:lang w:val="en-US"/>
              </w:rPr>
            </w:pPr>
            <w:r>
              <w:rPr>
                <w:lang w:val="en-US"/>
              </w:rPr>
              <w:t>Memorandum</w:t>
            </w:r>
          </w:p>
          <w:p w:rsidR="00FA3CA3" w:rsidRPr="009111DD" w:rsidRDefault="009111DD" w:rsidP="00FA3CA3">
            <w:pPr>
              <w:spacing w:line="240" w:lineRule="auto"/>
              <w:ind w:firstLine="0"/>
              <w:jc w:val="center"/>
              <w:rPr>
                <w:lang w:val="en-US"/>
              </w:rPr>
            </w:pPr>
            <w:r>
              <w:rPr>
                <w:lang w:val="en-US"/>
              </w:rPr>
              <w:t>On</w:t>
            </w:r>
            <w:r w:rsidRPr="009111DD">
              <w:rPr>
                <w:lang w:val="en-US"/>
              </w:rPr>
              <w:t xml:space="preserve"> </w:t>
            </w:r>
            <w:r>
              <w:rPr>
                <w:lang w:val="en-US"/>
              </w:rPr>
              <w:t>timely</w:t>
            </w:r>
            <w:r w:rsidRPr="009111DD">
              <w:rPr>
                <w:lang w:val="en-US"/>
              </w:rPr>
              <w:t xml:space="preserve"> </w:t>
            </w:r>
            <w:r>
              <w:rPr>
                <w:lang w:val="en-US"/>
              </w:rPr>
              <w:t>r</w:t>
            </w:r>
            <w:r w:rsidRPr="009111DD">
              <w:rPr>
                <w:lang w:val="en-US"/>
              </w:rPr>
              <w:t xml:space="preserve">egistration of manufacturer's limit selling prices for medicines </w:t>
            </w:r>
          </w:p>
          <w:p w:rsidR="00FA3CA3" w:rsidRPr="009111DD" w:rsidRDefault="009111DD" w:rsidP="00DF6056">
            <w:pPr>
              <w:spacing w:line="240" w:lineRule="auto"/>
              <w:ind w:firstLine="0"/>
              <w:rPr>
                <w:lang w:val="en-US"/>
              </w:rPr>
            </w:pPr>
            <w:r>
              <w:rPr>
                <w:lang w:val="en-US"/>
              </w:rPr>
              <w:t>Minsk</w:t>
            </w:r>
            <w:r w:rsidR="00FA3CA3">
              <w:tab/>
            </w:r>
            <w:r w:rsidR="00FA3CA3">
              <w:tab/>
            </w:r>
            <w:r w:rsidR="00FA3CA3">
              <w:tab/>
              <w:t xml:space="preserve">                                                    </w:t>
            </w:r>
            <w:r>
              <w:t xml:space="preserve">             </w:t>
            </w:r>
            <w:r>
              <w:rPr>
                <w:lang w:val="en-US"/>
              </w:rPr>
              <w:t xml:space="preserve">          </w:t>
            </w:r>
            <w:r>
              <w:t>«___»________2018</w:t>
            </w:r>
          </w:p>
          <w:p w:rsidR="00FA3CA3" w:rsidRDefault="00FA3CA3" w:rsidP="00FA3CA3">
            <w:pPr>
              <w:spacing w:line="240" w:lineRule="auto"/>
              <w:ind w:firstLine="360"/>
            </w:pPr>
          </w:p>
        </w:tc>
      </w:tr>
      <w:tr w:rsidR="00FA3CA3" w:rsidRPr="00BB6EB0" w:rsidTr="00DF6056">
        <w:tc>
          <w:tcPr>
            <w:tcW w:w="10080" w:type="dxa"/>
            <w:shd w:val="clear" w:color="auto" w:fill="auto"/>
          </w:tcPr>
          <w:p w:rsidR="009111DD" w:rsidRPr="00B73CD0" w:rsidRDefault="009111DD" w:rsidP="007252DF">
            <w:pPr>
              <w:spacing w:line="240" w:lineRule="auto"/>
              <w:ind w:firstLine="716"/>
              <w:rPr>
                <w:lang w:val="en-US"/>
              </w:rPr>
            </w:pPr>
            <w:r w:rsidRPr="00B73CD0">
              <w:rPr>
                <w:lang w:val="en-US"/>
              </w:rPr>
              <w:t xml:space="preserve">The Ministry of </w:t>
            </w:r>
            <w:r>
              <w:rPr>
                <w:lang w:val="en-US"/>
              </w:rPr>
              <w:t>H</w:t>
            </w:r>
            <w:r w:rsidRPr="00B73CD0">
              <w:rPr>
                <w:lang w:val="en-US"/>
              </w:rPr>
              <w:t xml:space="preserve">ealth of the Republic of Belarus represented by the Minister Valery Malashko, on the one hand, and legal entities and individual entrepreneurs engaged in pharmaceutical activities (industrial production of medicines, wholesale and retail sale of medicines), representative offices of foreign pharmaceutical manufacturers </w:t>
            </w:r>
            <w:r w:rsidR="00B73CD0">
              <w:rPr>
                <w:lang w:val="en-US"/>
              </w:rPr>
              <w:t>operating</w:t>
            </w:r>
            <w:r w:rsidRPr="00B73CD0">
              <w:rPr>
                <w:lang w:val="en-US"/>
              </w:rPr>
              <w:t xml:space="preserve"> in the territory of the Republic of Belarus, </w:t>
            </w:r>
            <w:r w:rsidR="00B73CD0" w:rsidRPr="00B73CD0">
              <w:rPr>
                <w:lang w:val="en-US"/>
              </w:rPr>
              <w:t xml:space="preserve">non-commercial </w:t>
            </w:r>
            <w:r w:rsidRPr="00B73CD0">
              <w:rPr>
                <w:lang w:val="en-US"/>
              </w:rPr>
              <w:t>organizations representing professional and business interests of foreign pharmaceutical manufacturers, legal enti</w:t>
            </w:r>
            <w:r w:rsidR="00B73CD0" w:rsidRPr="00B73CD0">
              <w:rPr>
                <w:lang w:val="en-US"/>
              </w:rPr>
              <w:t>ties of the Republic of Belarus</w:t>
            </w:r>
            <w:r w:rsidRPr="00B73CD0">
              <w:rPr>
                <w:lang w:val="en-US"/>
              </w:rPr>
              <w:t xml:space="preserve"> representing the interests of Belarusian manufacturers of medi</w:t>
            </w:r>
            <w:r w:rsidR="00B73CD0" w:rsidRPr="00B73CD0">
              <w:rPr>
                <w:lang w:val="en-US"/>
              </w:rPr>
              <w:t xml:space="preserve">cines (hereinafter all together – </w:t>
            </w:r>
            <w:r w:rsidRPr="00B73CD0">
              <w:rPr>
                <w:lang w:val="en-US"/>
              </w:rPr>
              <w:t>pharmaceutical manufacturers)</w:t>
            </w:r>
            <w:r w:rsidR="00B73CD0" w:rsidRPr="00B73CD0">
              <w:rPr>
                <w:lang w:val="en-US"/>
              </w:rPr>
              <w:t>, represented by managers, on the other hand, hereinafter referre</w:t>
            </w:r>
            <w:r w:rsidR="004C4A29">
              <w:rPr>
                <w:lang w:val="en-US"/>
              </w:rPr>
              <w:t>d to as the Parties, guided by Articles 4 and 5 of the L</w:t>
            </w:r>
            <w:r w:rsidR="00B73CD0" w:rsidRPr="00B73CD0">
              <w:rPr>
                <w:lang w:val="en-US"/>
              </w:rPr>
              <w:t>aw of the Republ</w:t>
            </w:r>
            <w:r w:rsidR="004C4A29">
              <w:rPr>
                <w:lang w:val="en-US"/>
              </w:rPr>
              <w:t>ic of Belarus “On medicines”</w:t>
            </w:r>
            <w:r w:rsidR="00B73CD0" w:rsidRPr="00B73CD0">
              <w:rPr>
                <w:lang w:val="en-US"/>
              </w:rPr>
              <w:t xml:space="preserve"> </w:t>
            </w:r>
            <w:r w:rsidR="006644C5">
              <w:rPr>
                <w:lang w:val="en-US"/>
              </w:rPr>
              <w:t>of 20</w:t>
            </w:r>
            <w:r w:rsidR="006644C5" w:rsidRPr="006644C5">
              <w:rPr>
                <w:lang w:val="en-US"/>
              </w:rPr>
              <w:t xml:space="preserve"> </w:t>
            </w:r>
            <w:r w:rsidR="006644C5">
              <w:rPr>
                <w:lang w:val="en-US"/>
              </w:rPr>
              <w:t>July</w:t>
            </w:r>
            <w:r w:rsidR="006644C5" w:rsidRPr="006644C5">
              <w:rPr>
                <w:lang w:val="en-US"/>
              </w:rPr>
              <w:t xml:space="preserve"> </w:t>
            </w:r>
            <w:r w:rsidR="006644C5">
              <w:rPr>
                <w:lang w:val="en-US"/>
              </w:rPr>
              <w:t>2006</w:t>
            </w:r>
            <w:r w:rsidR="006644C5" w:rsidRPr="00B73CD0">
              <w:rPr>
                <w:lang w:val="en-US"/>
              </w:rPr>
              <w:t>,</w:t>
            </w:r>
            <w:r w:rsidR="006644C5">
              <w:rPr>
                <w:lang w:val="en-US"/>
              </w:rPr>
              <w:t xml:space="preserve"> </w:t>
            </w:r>
            <w:r w:rsidR="00B73CD0" w:rsidRPr="00B73CD0">
              <w:rPr>
                <w:lang w:val="en-US"/>
              </w:rPr>
              <w:t>according to which the state guarantees the right to health protection and ensures the availability of medicines as a necessary condition for providing the popu</w:t>
            </w:r>
            <w:r w:rsidR="004C4A29">
              <w:rPr>
                <w:lang w:val="en-US"/>
              </w:rPr>
              <w:t>lation with timely medical care and,</w:t>
            </w:r>
            <w:r w:rsidR="00B73CD0" w:rsidRPr="00B73CD0">
              <w:rPr>
                <w:lang w:val="en-US"/>
              </w:rPr>
              <w:t xml:space="preserve"> taking into account the effectiveness of the state regulation of the </w:t>
            </w:r>
            <w:r w:rsidR="00CD68F2" w:rsidRPr="00CD68F2">
              <w:rPr>
                <w:lang w:val="en-US"/>
              </w:rPr>
              <w:t>turnover</w:t>
            </w:r>
            <w:r w:rsidR="00B73CD0" w:rsidRPr="00B73CD0">
              <w:rPr>
                <w:lang w:val="en-US"/>
              </w:rPr>
              <w:t xml:space="preserve"> of medicines, </w:t>
            </w:r>
            <w:r w:rsidR="004C4A29">
              <w:rPr>
                <w:lang w:val="en-US"/>
              </w:rPr>
              <w:t>h</w:t>
            </w:r>
            <w:r w:rsidR="004C4A29" w:rsidRPr="004C4A29">
              <w:rPr>
                <w:lang w:val="en-US"/>
              </w:rPr>
              <w:t>ave agreed as follows</w:t>
            </w:r>
            <w:r w:rsidR="00B73CD0" w:rsidRPr="00B73CD0">
              <w:rPr>
                <w:lang w:val="en-US"/>
              </w:rPr>
              <w:t>:</w:t>
            </w:r>
          </w:p>
          <w:p w:rsidR="00DF6056" w:rsidRPr="004C4A29" w:rsidRDefault="00DF6056" w:rsidP="007252DF">
            <w:pPr>
              <w:spacing w:line="240" w:lineRule="auto"/>
              <w:ind w:firstLine="716"/>
              <w:rPr>
                <w:lang w:val="en-US"/>
              </w:rPr>
            </w:pPr>
            <w:r w:rsidRPr="0053243F">
              <w:rPr>
                <w:lang w:val="en-US"/>
              </w:rPr>
              <w:t xml:space="preserve">1. </w:t>
            </w:r>
            <w:r w:rsidR="004C4A29">
              <w:rPr>
                <w:lang w:val="en-US"/>
              </w:rPr>
              <w:t>The</w:t>
            </w:r>
            <w:r w:rsidR="004C4A29" w:rsidRPr="004C4A29">
              <w:rPr>
                <w:lang w:val="en-US"/>
              </w:rPr>
              <w:t xml:space="preserve"> Memorandum is the basis for the implementation of urgent measures aimed at the registration of manufacturer's limit selling prices for medicines registered in the Republic of Belarus, the list of international nonproprietary nam</w:t>
            </w:r>
            <w:r w:rsidR="0053243F">
              <w:rPr>
                <w:lang w:val="en-US"/>
              </w:rPr>
              <w:t xml:space="preserve">es of which is approved by the </w:t>
            </w:r>
            <w:r w:rsidR="004C4A29" w:rsidRPr="004C4A29">
              <w:rPr>
                <w:lang w:val="en-US"/>
              </w:rPr>
              <w:t>President</w:t>
            </w:r>
            <w:r w:rsidR="0053243F">
              <w:rPr>
                <w:lang w:val="en-US"/>
              </w:rPr>
              <w:t>’s</w:t>
            </w:r>
            <w:r w:rsidR="004C4A29" w:rsidRPr="004C4A29">
              <w:rPr>
                <w:lang w:val="en-US"/>
              </w:rPr>
              <w:t xml:space="preserve"> </w:t>
            </w:r>
            <w:r w:rsidR="0053243F">
              <w:rPr>
                <w:lang w:val="en-US"/>
              </w:rPr>
              <w:t>D</w:t>
            </w:r>
            <w:r w:rsidR="0053243F" w:rsidRPr="004C4A29">
              <w:rPr>
                <w:lang w:val="en-US"/>
              </w:rPr>
              <w:t xml:space="preserve">ecree </w:t>
            </w:r>
            <w:r w:rsidR="004C4A29" w:rsidRPr="004C4A29">
              <w:rPr>
                <w:lang w:val="en-US"/>
              </w:rPr>
              <w:t>of the Republic of</w:t>
            </w:r>
            <w:r w:rsidR="0053243F">
              <w:rPr>
                <w:lang w:val="en-US"/>
              </w:rPr>
              <w:t xml:space="preserve"> Belarus </w:t>
            </w:r>
            <w:r w:rsidR="00DD597E" w:rsidRPr="0053243F">
              <w:rPr>
                <w:lang w:val="en-US"/>
              </w:rPr>
              <w:t>No.</w:t>
            </w:r>
            <w:r w:rsidR="00DD597E">
              <w:rPr>
                <w:lang w:val="en-US"/>
              </w:rPr>
              <w:t xml:space="preserve"> 345</w:t>
            </w:r>
            <w:r w:rsidR="0053243F">
              <w:rPr>
                <w:lang w:val="en-US"/>
              </w:rPr>
              <w:t xml:space="preserve"> </w:t>
            </w:r>
            <w:r w:rsidR="006644C5">
              <w:rPr>
                <w:lang w:val="en-US"/>
              </w:rPr>
              <w:t>“O</w:t>
            </w:r>
            <w:r w:rsidR="006644C5" w:rsidRPr="004C4A29">
              <w:rPr>
                <w:lang w:val="en-US"/>
              </w:rPr>
              <w:t>n regis</w:t>
            </w:r>
            <w:r w:rsidR="006644C5">
              <w:rPr>
                <w:lang w:val="en-US"/>
              </w:rPr>
              <w:t>tration of prices for medicines”</w:t>
            </w:r>
            <w:r w:rsidR="006644C5" w:rsidRPr="006644C5">
              <w:rPr>
                <w:lang w:val="en-US"/>
              </w:rPr>
              <w:t xml:space="preserve"> </w:t>
            </w:r>
            <w:r w:rsidR="006644C5">
              <w:rPr>
                <w:lang w:val="en-US"/>
              </w:rPr>
              <w:t>of 22</w:t>
            </w:r>
            <w:r w:rsidR="0053243F">
              <w:rPr>
                <w:lang w:val="en-US"/>
              </w:rPr>
              <w:t>August</w:t>
            </w:r>
            <w:r w:rsidR="006644C5">
              <w:rPr>
                <w:lang w:val="en-US"/>
              </w:rPr>
              <w:t xml:space="preserve"> 2018</w:t>
            </w:r>
            <w:r w:rsidR="006644C5" w:rsidRPr="006644C5">
              <w:rPr>
                <w:lang w:val="en-US"/>
              </w:rPr>
              <w:t xml:space="preserve"> </w:t>
            </w:r>
            <w:r w:rsidR="0053243F">
              <w:rPr>
                <w:lang w:val="en-US"/>
              </w:rPr>
              <w:t>(hereinafter – medicines), and is aimed to</w:t>
            </w:r>
            <w:r w:rsidR="004C4A29" w:rsidRPr="004C4A29">
              <w:rPr>
                <w:lang w:val="en-US"/>
              </w:rPr>
              <w:t xml:space="preserve"> preventing the reduction of the nomenclature of listed medicines in the Republic of Belarus.</w:t>
            </w:r>
          </w:p>
          <w:p w:rsidR="00FA3CA3" w:rsidRPr="0053243F" w:rsidRDefault="0053243F" w:rsidP="007252DF">
            <w:pPr>
              <w:spacing w:line="240" w:lineRule="auto"/>
              <w:ind w:firstLine="716"/>
              <w:rPr>
                <w:lang w:val="en-US"/>
              </w:rPr>
            </w:pPr>
            <w:r w:rsidRPr="0053243F">
              <w:rPr>
                <w:lang w:val="en-US"/>
              </w:rPr>
              <w:t xml:space="preserve">In order to achieve the goals of guaranteeing the constitutional rights of citizens to health protection, </w:t>
            </w:r>
            <w:r w:rsidRPr="0053243F">
              <w:rPr>
                <w:b/>
                <w:lang w:val="en-US"/>
              </w:rPr>
              <w:t>the Parties will ensure</w:t>
            </w:r>
            <w:r>
              <w:rPr>
                <w:lang w:val="en-US"/>
              </w:rPr>
              <w:t>:</w:t>
            </w:r>
          </w:p>
        </w:tc>
      </w:tr>
      <w:tr w:rsidR="00FA3CA3" w:rsidRPr="00BB6EB0" w:rsidTr="00DF6056">
        <w:tc>
          <w:tcPr>
            <w:tcW w:w="10080" w:type="dxa"/>
            <w:shd w:val="clear" w:color="auto" w:fill="auto"/>
          </w:tcPr>
          <w:p w:rsidR="00FA3CA3" w:rsidRPr="0053243F" w:rsidRDefault="00FA3CA3" w:rsidP="006C1EAB">
            <w:pPr>
              <w:spacing w:line="240" w:lineRule="auto"/>
              <w:ind w:firstLine="716"/>
              <w:rPr>
                <w:lang w:val="en-US"/>
              </w:rPr>
            </w:pPr>
            <w:r w:rsidRPr="0053243F">
              <w:rPr>
                <w:b/>
                <w:szCs w:val="26"/>
                <w:lang w:val="en-US"/>
              </w:rPr>
              <w:t>1.</w:t>
            </w:r>
            <w:r w:rsidRPr="0053243F">
              <w:rPr>
                <w:lang w:val="en-US"/>
              </w:rPr>
              <w:t xml:space="preserve"> </w:t>
            </w:r>
            <w:r w:rsidR="0053243F" w:rsidRPr="0053243F">
              <w:rPr>
                <w:b/>
                <w:lang w:val="en-US"/>
              </w:rPr>
              <w:t>The Ministry of Health of the Republic of Belarus</w:t>
            </w:r>
            <w:r w:rsidRPr="0053243F">
              <w:rPr>
                <w:lang w:val="en-US"/>
              </w:rPr>
              <w:t>:</w:t>
            </w:r>
          </w:p>
          <w:p w:rsidR="00FA3CA3" w:rsidRPr="00792E35" w:rsidRDefault="00792E35" w:rsidP="006C1EAB">
            <w:pPr>
              <w:spacing w:line="240" w:lineRule="auto"/>
              <w:ind w:firstLine="716"/>
              <w:rPr>
                <w:lang w:val="en-US"/>
              </w:rPr>
            </w:pPr>
            <w:r>
              <w:rPr>
                <w:lang w:val="en-US"/>
              </w:rPr>
              <w:t xml:space="preserve">post </w:t>
            </w:r>
            <w:r w:rsidRPr="00792E35">
              <w:rPr>
                <w:lang w:val="en-US"/>
              </w:rPr>
              <w:t>of all necessary information relating to registration of manufacturer's limit selling prices for medicines</w:t>
            </w:r>
            <w:r>
              <w:rPr>
                <w:lang w:val="en-US"/>
              </w:rPr>
              <w:t xml:space="preserve"> on the website of RUE “Center for</w:t>
            </w:r>
            <w:r w:rsidRPr="00792E35">
              <w:rPr>
                <w:lang w:val="en-US"/>
              </w:rPr>
              <w:t xml:space="preserve"> examin</w:t>
            </w:r>
            <w:r>
              <w:rPr>
                <w:lang w:val="en-US"/>
              </w:rPr>
              <w:t>ations and tests in health service”</w:t>
            </w:r>
            <w:r w:rsidRPr="00792E35">
              <w:rPr>
                <w:lang w:val="en-US"/>
              </w:rPr>
              <w:t xml:space="preserve"> </w:t>
            </w:r>
            <w:r>
              <w:rPr>
                <w:lang w:val="en-US"/>
              </w:rPr>
              <w:t>(</w:t>
            </w:r>
            <w:hyperlink r:id="rId4" w:history="1">
              <w:r w:rsidRPr="002F167B">
                <w:rPr>
                  <w:rStyle w:val="a4"/>
                  <w:lang w:val="en-US"/>
                </w:rPr>
                <w:t>www.rceth.by</w:t>
              </w:r>
            </w:hyperlink>
            <w:r>
              <w:rPr>
                <w:lang w:val="en-US"/>
              </w:rPr>
              <w:t>)</w:t>
            </w:r>
            <w:r w:rsidRPr="00792E35">
              <w:rPr>
                <w:lang w:val="en-US"/>
              </w:rPr>
              <w:t>;</w:t>
            </w:r>
          </w:p>
          <w:p w:rsidR="006C1EAB" w:rsidRPr="00792E35" w:rsidRDefault="00792E35" w:rsidP="006C1EAB">
            <w:pPr>
              <w:autoSpaceDE w:val="0"/>
              <w:autoSpaceDN w:val="0"/>
              <w:adjustRightInd w:val="0"/>
              <w:spacing w:line="240" w:lineRule="auto"/>
              <w:ind w:firstLine="716"/>
              <w:rPr>
                <w:rFonts w:eastAsiaTheme="minorHAnsi"/>
                <w:szCs w:val="26"/>
                <w:lang w:val="en-US" w:eastAsia="en-US"/>
              </w:rPr>
            </w:pPr>
            <w:r w:rsidRPr="00792E35">
              <w:rPr>
                <w:rFonts w:eastAsiaTheme="minorHAnsi"/>
                <w:szCs w:val="26"/>
                <w:lang w:val="en-US" w:eastAsia="en-US"/>
              </w:rPr>
              <w:t>acceptance of documents for registration of manufacturer's limit selling prices for medicines in accordance with the Regulations on the procedure for registration of manufacturer's limit selling prices for medicines</w:t>
            </w:r>
            <w:r>
              <w:rPr>
                <w:rFonts w:eastAsiaTheme="minorHAnsi"/>
                <w:szCs w:val="26"/>
                <w:lang w:val="en-US" w:eastAsia="en-US"/>
              </w:rPr>
              <w:t>, approved by the R</w:t>
            </w:r>
            <w:r w:rsidRPr="00792E35">
              <w:rPr>
                <w:rFonts w:eastAsiaTheme="minorHAnsi"/>
                <w:szCs w:val="26"/>
                <w:lang w:val="en-US" w:eastAsia="en-US"/>
              </w:rPr>
              <w:t xml:space="preserve">esolution of the </w:t>
            </w:r>
            <w:r w:rsidR="000D1DF0" w:rsidRPr="00792E35">
              <w:rPr>
                <w:rFonts w:eastAsiaTheme="minorHAnsi"/>
                <w:szCs w:val="26"/>
                <w:lang w:val="en-US" w:eastAsia="en-US"/>
              </w:rPr>
              <w:t xml:space="preserve">Council of </w:t>
            </w:r>
            <w:r w:rsidR="00DD597E" w:rsidRPr="00792E35">
              <w:rPr>
                <w:rFonts w:eastAsiaTheme="minorHAnsi"/>
                <w:szCs w:val="26"/>
                <w:lang w:val="en-US" w:eastAsia="en-US"/>
              </w:rPr>
              <w:t>Ministers</w:t>
            </w:r>
            <w:r w:rsidR="000D1DF0" w:rsidRPr="000D1DF0">
              <w:rPr>
                <w:rFonts w:eastAsiaTheme="minorHAnsi"/>
                <w:szCs w:val="26"/>
                <w:lang w:val="en-US" w:eastAsia="en-US"/>
              </w:rPr>
              <w:t xml:space="preserve"> </w:t>
            </w:r>
            <w:r w:rsidRPr="00792E35">
              <w:rPr>
                <w:rFonts w:eastAsiaTheme="minorHAnsi"/>
                <w:szCs w:val="26"/>
                <w:lang w:val="en-US" w:eastAsia="en-US"/>
              </w:rPr>
              <w:t xml:space="preserve">of the Republic of Belarus </w:t>
            </w:r>
            <w:r w:rsidR="00DD597E">
              <w:rPr>
                <w:rFonts w:eastAsiaTheme="minorHAnsi"/>
                <w:szCs w:val="26"/>
                <w:lang w:val="en-US" w:eastAsia="en-US"/>
              </w:rPr>
              <w:t>No.</w:t>
            </w:r>
            <w:r w:rsidR="00DD597E" w:rsidRPr="00792E35">
              <w:rPr>
                <w:rFonts w:eastAsiaTheme="minorHAnsi"/>
                <w:szCs w:val="26"/>
                <w:lang w:val="en-US" w:eastAsia="en-US"/>
              </w:rPr>
              <w:t xml:space="preserve"> 776</w:t>
            </w:r>
            <w:r w:rsidR="00DD597E">
              <w:rPr>
                <w:rFonts w:eastAsiaTheme="minorHAnsi"/>
                <w:szCs w:val="26"/>
                <w:lang w:val="en-US" w:eastAsia="en-US"/>
              </w:rPr>
              <w:t xml:space="preserve"> “O</w:t>
            </w:r>
            <w:r w:rsidRPr="00792E35">
              <w:rPr>
                <w:rFonts w:eastAsiaTheme="minorHAnsi"/>
                <w:szCs w:val="26"/>
                <w:lang w:val="en-US" w:eastAsia="en-US"/>
              </w:rPr>
              <w:t xml:space="preserve">n registration of </w:t>
            </w:r>
            <w:r w:rsidR="00DD597E" w:rsidRPr="00DD597E">
              <w:rPr>
                <w:rFonts w:eastAsiaTheme="minorHAnsi"/>
                <w:szCs w:val="26"/>
                <w:lang w:val="en-US" w:eastAsia="en-US"/>
              </w:rPr>
              <w:t>manufacturer's limit selling prices for medicines</w:t>
            </w:r>
            <w:r w:rsidR="00DD597E">
              <w:rPr>
                <w:rFonts w:eastAsiaTheme="minorHAnsi"/>
                <w:szCs w:val="26"/>
                <w:lang w:val="en-US" w:eastAsia="en-US"/>
              </w:rPr>
              <w:t>”</w:t>
            </w:r>
            <w:r w:rsidRPr="00792E35">
              <w:rPr>
                <w:rFonts w:eastAsiaTheme="minorHAnsi"/>
                <w:szCs w:val="26"/>
                <w:lang w:val="en-US" w:eastAsia="en-US"/>
              </w:rPr>
              <w:t xml:space="preserve"> </w:t>
            </w:r>
            <w:r w:rsidR="000D1DF0" w:rsidRPr="00792E35">
              <w:rPr>
                <w:rFonts w:eastAsiaTheme="minorHAnsi"/>
                <w:szCs w:val="26"/>
                <w:lang w:val="en-US" w:eastAsia="en-US"/>
              </w:rPr>
              <w:t xml:space="preserve">of </w:t>
            </w:r>
            <w:r w:rsidR="000D1DF0">
              <w:rPr>
                <w:rFonts w:eastAsiaTheme="minorHAnsi"/>
                <w:szCs w:val="26"/>
                <w:lang w:val="en-US" w:eastAsia="en-US"/>
              </w:rPr>
              <w:t>3</w:t>
            </w:r>
            <w:r w:rsidR="000D1DF0" w:rsidRPr="000D1DF0">
              <w:rPr>
                <w:rFonts w:eastAsiaTheme="minorHAnsi"/>
                <w:szCs w:val="26"/>
                <w:lang w:val="en-US" w:eastAsia="en-US"/>
              </w:rPr>
              <w:t xml:space="preserve">1 </w:t>
            </w:r>
            <w:r w:rsidR="000D1DF0" w:rsidRPr="00792E35">
              <w:rPr>
                <w:rFonts w:eastAsiaTheme="minorHAnsi"/>
                <w:szCs w:val="26"/>
                <w:lang w:val="en-US" w:eastAsia="en-US"/>
              </w:rPr>
              <w:t>October</w:t>
            </w:r>
            <w:r w:rsidR="000D1DF0" w:rsidRPr="000D1DF0">
              <w:rPr>
                <w:rFonts w:eastAsiaTheme="minorHAnsi"/>
                <w:szCs w:val="26"/>
                <w:lang w:val="en-US" w:eastAsia="en-US"/>
              </w:rPr>
              <w:t xml:space="preserve"> </w:t>
            </w:r>
            <w:r w:rsidR="000D1DF0" w:rsidRPr="00792E35">
              <w:rPr>
                <w:rFonts w:eastAsiaTheme="minorHAnsi"/>
                <w:szCs w:val="26"/>
                <w:lang w:val="en-US" w:eastAsia="en-US"/>
              </w:rPr>
              <w:t>2018</w:t>
            </w:r>
            <w:r w:rsidR="000D1DF0" w:rsidRPr="000D1DF0">
              <w:rPr>
                <w:rFonts w:eastAsiaTheme="minorHAnsi"/>
                <w:szCs w:val="26"/>
                <w:lang w:val="en-US" w:eastAsia="en-US"/>
              </w:rPr>
              <w:t xml:space="preserve"> </w:t>
            </w:r>
            <w:r w:rsidRPr="00792E35">
              <w:rPr>
                <w:rFonts w:eastAsiaTheme="minorHAnsi"/>
                <w:szCs w:val="26"/>
                <w:lang w:val="en-US" w:eastAsia="en-US"/>
              </w:rPr>
              <w:t>on working days, weekends and holidays in December</w:t>
            </w:r>
            <w:r w:rsidR="000D1DF0" w:rsidRPr="000D1DF0">
              <w:rPr>
                <w:rFonts w:eastAsiaTheme="minorHAnsi"/>
                <w:szCs w:val="26"/>
                <w:lang w:val="en-US" w:eastAsia="en-US"/>
              </w:rPr>
              <w:t xml:space="preserve"> </w:t>
            </w:r>
            <w:r w:rsidRPr="00792E35">
              <w:rPr>
                <w:rFonts w:eastAsiaTheme="minorHAnsi"/>
                <w:szCs w:val="26"/>
                <w:lang w:val="en-US" w:eastAsia="en-US"/>
              </w:rPr>
              <w:t xml:space="preserve">2018 in </w:t>
            </w:r>
            <w:r w:rsidR="00DD597E" w:rsidRPr="00DD597E">
              <w:rPr>
                <w:rFonts w:eastAsiaTheme="minorHAnsi"/>
                <w:szCs w:val="26"/>
                <w:lang w:val="en-US" w:eastAsia="en-US"/>
              </w:rPr>
              <w:t>RUE “Center for examinations and tests in health service”</w:t>
            </w:r>
            <w:r w:rsidR="00DD597E">
              <w:rPr>
                <w:rFonts w:eastAsiaTheme="minorHAnsi"/>
                <w:szCs w:val="26"/>
                <w:lang w:val="en-US" w:eastAsia="en-US"/>
              </w:rPr>
              <w:t xml:space="preserve"> from 8.30 p.m. to 12.30 a.m., from 1.15 a.m. to 4</w:t>
            </w:r>
            <w:r w:rsidRPr="00792E35">
              <w:rPr>
                <w:rFonts w:eastAsiaTheme="minorHAnsi"/>
                <w:szCs w:val="26"/>
                <w:lang w:val="en-US" w:eastAsia="en-US"/>
              </w:rPr>
              <w:t xml:space="preserve">.30 </w:t>
            </w:r>
            <w:r w:rsidR="00DD597E">
              <w:rPr>
                <w:rFonts w:eastAsiaTheme="minorHAnsi"/>
                <w:szCs w:val="26"/>
                <w:lang w:val="en-US" w:eastAsia="en-US"/>
              </w:rPr>
              <w:t>a.m.</w:t>
            </w:r>
            <w:r w:rsidRPr="00792E35">
              <w:rPr>
                <w:rFonts w:eastAsiaTheme="minorHAnsi"/>
                <w:szCs w:val="26"/>
                <w:lang w:val="en-US" w:eastAsia="en-US"/>
              </w:rPr>
              <w:t>;</w:t>
            </w:r>
          </w:p>
          <w:p w:rsidR="006C1EAB" w:rsidRPr="00DD597E" w:rsidRDefault="00DD597E" w:rsidP="006C1EAB">
            <w:pPr>
              <w:spacing w:line="240" w:lineRule="auto"/>
              <w:rPr>
                <w:lang w:val="en-US"/>
              </w:rPr>
            </w:pPr>
            <w:r w:rsidRPr="00DD597E">
              <w:rPr>
                <w:lang w:val="en-US"/>
              </w:rPr>
              <w:t xml:space="preserve">timely decision on registration of manufacturer's limit selling prices in accordance </w:t>
            </w:r>
            <w:r>
              <w:rPr>
                <w:lang w:val="en-US"/>
              </w:rPr>
              <w:t>with</w:t>
            </w:r>
            <w:r w:rsidRPr="00DD597E">
              <w:rPr>
                <w:lang w:val="en-US"/>
              </w:rPr>
              <w:t xml:space="preserve"> the terms established by the legislation;</w:t>
            </w:r>
          </w:p>
          <w:p w:rsidR="006C1EAB" w:rsidRPr="00DD597E" w:rsidRDefault="00DD597E" w:rsidP="006C1EAB">
            <w:pPr>
              <w:autoSpaceDE w:val="0"/>
              <w:autoSpaceDN w:val="0"/>
              <w:adjustRightInd w:val="0"/>
              <w:spacing w:line="240" w:lineRule="auto"/>
              <w:ind w:firstLine="716"/>
              <w:rPr>
                <w:lang w:val="en-US"/>
              </w:rPr>
            </w:pPr>
            <w:r w:rsidRPr="00DD597E">
              <w:rPr>
                <w:rFonts w:eastAsiaTheme="minorHAnsi"/>
                <w:szCs w:val="26"/>
                <w:lang w:val="en-US" w:eastAsia="en-US"/>
              </w:rPr>
              <w:t>maintenance of the state register of manufacturer's limit selling prices for medicines;</w:t>
            </w:r>
          </w:p>
          <w:p w:rsidR="00FA3CA3" w:rsidRPr="00DD597E" w:rsidRDefault="00DD597E" w:rsidP="00525673">
            <w:pPr>
              <w:spacing w:line="240" w:lineRule="auto"/>
              <w:ind w:firstLine="716"/>
              <w:rPr>
                <w:lang w:val="en-US"/>
              </w:rPr>
            </w:pPr>
            <w:r w:rsidRPr="00DD597E">
              <w:rPr>
                <w:lang w:val="en-US"/>
              </w:rPr>
              <w:t>operational interaction wit</w:t>
            </w:r>
            <w:r>
              <w:rPr>
                <w:lang w:val="en-US"/>
              </w:rPr>
              <w:t>h the Ministry of Antimonopoly Regulation and T</w:t>
            </w:r>
            <w:r w:rsidRPr="00DD597E">
              <w:rPr>
                <w:lang w:val="en-US"/>
              </w:rPr>
              <w:t xml:space="preserve">rade of the Republic of Belarus, other national authorities to obtain the necessary information in order to </w:t>
            </w:r>
            <w:r w:rsidR="00617D4B" w:rsidRPr="00617D4B">
              <w:rPr>
                <w:lang w:val="en-US"/>
              </w:rPr>
              <w:t>the fastest possible realization</w:t>
            </w:r>
            <w:r w:rsidR="00617D4B">
              <w:rPr>
                <w:lang w:val="en-US"/>
              </w:rPr>
              <w:t xml:space="preserve"> of</w:t>
            </w:r>
            <w:r w:rsidR="00617D4B" w:rsidRPr="00617D4B">
              <w:rPr>
                <w:lang w:val="en-US"/>
              </w:rPr>
              <w:t xml:space="preserve"> </w:t>
            </w:r>
            <w:r w:rsidRPr="00DD597E">
              <w:rPr>
                <w:lang w:val="en-US"/>
              </w:rPr>
              <w:t xml:space="preserve">registration of </w:t>
            </w:r>
            <w:r w:rsidR="00617D4B" w:rsidRPr="00617D4B">
              <w:rPr>
                <w:lang w:val="en-US"/>
              </w:rPr>
              <w:t>manufacturer's limit selling prices for medicines</w:t>
            </w:r>
            <w:r w:rsidRPr="00DD597E">
              <w:rPr>
                <w:lang w:val="en-US"/>
              </w:rPr>
              <w:t>;</w:t>
            </w:r>
          </w:p>
          <w:p w:rsidR="00525673" w:rsidRPr="00617D4B" w:rsidRDefault="00617D4B" w:rsidP="00525673">
            <w:pPr>
              <w:spacing w:line="240" w:lineRule="auto"/>
              <w:ind w:firstLine="716"/>
              <w:rPr>
                <w:lang w:val="en-US"/>
              </w:rPr>
            </w:pPr>
            <w:r w:rsidRPr="00617D4B">
              <w:rPr>
                <w:lang w:val="en-US"/>
              </w:rPr>
              <w:t>operational interaction with distributors of medicines and retail chains engaged in wholesale and retail sale of medicines;</w:t>
            </w:r>
          </w:p>
          <w:p w:rsidR="006C1EAB" w:rsidRPr="00617D4B" w:rsidRDefault="00617D4B" w:rsidP="00525673">
            <w:pPr>
              <w:spacing w:line="240" w:lineRule="auto"/>
              <w:ind w:firstLine="716"/>
              <w:rPr>
                <w:lang w:val="en-US"/>
              </w:rPr>
            </w:pPr>
            <w:r w:rsidRPr="00617D4B">
              <w:rPr>
                <w:lang w:val="en-US"/>
              </w:rPr>
              <w:t xml:space="preserve">consulting within the competence of interested pharmaceutical manufacturers on the </w:t>
            </w:r>
            <w:r w:rsidRPr="00617D4B">
              <w:rPr>
                <w:lang w:val="en-US"/>
              </w:rPr>
              <w:lastRenderedPageBreak/>
              <w:t xml:space="preserve">procedure and terms of registration </w:t>
            </w:r>
            <w:r>
              <w:rPr>
                <w:lang w:val="en-US"/>
              </w:rPr>
              <w:t xml:space="preserve">of </w:t>
            </w:r>
            <w:r w:rsidRPr="00617D4B">
              <w:rPr>
                <w:lang w:val="en-US"/>
              </w:rPr>
              <w:t>manufacturer's limit selling prices for medicines;</w:t>
            </w:r>
          </w:p>
          <w:p w:rsidR="00525673" w:rsidRPr="00617D4B" w:rsidRDefault="00617D4B" w:rsidP="00525673">
            <w:pPr>
              <w:spacing w:line="240" w:lineRule="auto"/>
              <w:ind w:firstLine="716"/>
              <w:rPr>
                <w:lang w:val="en-US"/>
              </w:rPr>
            </w:pPr>
            <w:r w:rsidRPr="00617D4B">
              <w:rPr>
                <w:lang w:val="en-US"/>
              </w:rPr>
              <w:t>consideration of proposals of pharmaceutical manufacturers and other interested parties to improve the procedure for registration of manufacturer's limit selling prices for medicines in the Republic of Belarus.</w:t>
            </w:r>
          </w:p>
          <w:p w:rsidR="00FA3CA3" w:rsidRPr="00617D4B" w:rsidRDefault="00FA3CA3" w:rsidP="00617D4B">
            <w:pPr>
              <w:spacing w:line="240" w:lineRule="auto"/>
              <w:ind w:firstLine="0"/>
              <w:rPr>
                <w:lang w:val="en-US"/>
              </w:rPr>
            </w:pPr>
          </w:p>
        </w:tc>
      </w:tr>
      <w:tr w:rsidR="00FA3CA3" w:rsidRPr="00BB6EB0" w:rsidTr="00DF6056">
        <w:trPr>
          <w:trHeight w:val="3310"/>
        </w:trPr>
        <w:tc>
          <w:tcPr>
            <w:tcW w:w="10080" w:type="dxa"/>
            <w:shd w:val="clear" w:color="auto" w:fill="auto"/>
          </w:tcPr>
          <w:p w:rsidR="00FA3CA3" w:rsidRPr="006C0B25" w:rsidRDefault="00525673" w:rsidP="00525673">
            <w:pPr>
              <w:spacing w:line="240" w:lineRule="auto"/>
              <w:ind w:firstLine="716"/>
              <w:rPr>
                <w:lang w:val="en-US"/>
              </w:rPr>
            </w:pPr>
            <w:r w:rsidRPr="006C0B25">
              <w:rPr>
                <w:b/>
                <w:lang w:val="en-US"/>
              </w:rPr>
              <w:lastRenderedPageBreak/>
              <w:t xml:space="preserve">2. </w:t>
            </w:r>
            <w:r w:rsidR="0053243F">
              <w:rPr>
                <w:b/>
                <w:lang w:val="en-US"/>
              </w:rPr>
              <w:t>The p</w:t>
            </w:r>
            <w:r w:rsidR="0053243F" w:rsidRPr="006C0B25">
              <w:rPr>
                <w:b/>
                <w:lang w:val="en-US"/>
              </w:rPr>
              <w:t>harmaceutical manufacturers</w:t>
            </w:r>
            <w:r w:rsidR="00FA3CA3" w:rsidRPr="006C0B25">
              <w:rPr>
                <w:b/>
                <w:lang w:val="en-US"/>
              </w:rPr>
              <w:t>:</w:t>
            </w:r>
          </w:p>
          <w:p w:rsidR="00525673" w:rsidRPr="006C0B25" w:rsidRDefault="006C0B25" w:rsidP="00525673">
            <w:pPr>
              <w:spacing w:line="240" w:lineRule="auto"/>
              <w:ind w:firstLine="716"/>
              <w:rPr>
                <w:szCs w:val="26"/>
                <w:lang w:val="en-US"/>
              </w:rPr>
            </w:pPr>
            <w:r w:rsidRPr="006C0B25">
              <w:rPr>
                <w:color w:val="000000"/>
                <w:szCs w:val="26"/>
                <w:lang w:val="en-US"/>
              </w:rPr>
              <w:t>timely (up to 24 December</w:t>
            </w:r>
            <w:r>
              <w:rPr>
                <w:color w:val="000000"/>
                <w:szCs w:val="26"/>
                <w:lang w:val="en-US"/>
              </w:rPr>
              <w:t>, 2018</w:t>
            </w:r>
            <w:r w:rsidRPr="006C0B25">
              <w:rPr>
                <w:color w:val="000000"/>
                <w:szCs w:val="26"/>
                <w:lang w:val="en-US"/>
              </w:rPr>
              <w:t xml:space="preserve">) appeal </w:t>
            </w:r>
            <w:r>
              <w:rPr>
                <w:color w:val="000000"/>
                <w:szCs w:val="26"/>
                <w:lang w:val="en-US"/>
              </w:rPr>
              <w:t>to the Ministry of H</w:t>
            </w:r>
            <w:r w:rsidRPr="006C0B25">
              <w:rPr>
                <w:color w:val="000000"/>
                <w:szCs w:val="26"/>
                <w:lang w:val="en-US"/>
              </w:rPr>
              <w:t>ealth of the Republic of Belarus in accordance with the establishe</w:t>
            </w:r>
            <w:r>
              <w:rPr>
                <w:color w:val="000000"/>
                <w:szCs w:val="26"/>
                <w:lang w:val="en-US"/>
              </w:rPr>
              <w:t xml:space="preserve">d procedure </w:t>
            </w:r>
            <w:r w:rsidRPr="006C0B25">
              <w:rPr>
                <w:color w:val="000000"/>
                <w:szCs w:val="26"/>
                <w:lang w:val="en-US"/>
              </w:rPr>
              <w:t>for registration of manufacturer's limit selling prices for medicines and provision of documents,</w:t>
            </w:r>
            <w:r>
              <w:rPr>
                <w:color w:val="000000"/>
                <w:szCs w:val="26"/>
                <w:lang w:val="en-US"/>
              </w:rPr>
              <w:t xml:space="preserve"> provided by the R</w:t>
            </w:r>
            <w:r w:rsidRPr="006C0B25">
              <w:rPr>
                <w:color w:val="000000"/>
                <w:szCs w:val="26"/>
                <w:lang w:val="en-US"/>
              </w:rPr>
              <w:t xml:space="preserve">esolution of the </w:t>
            </w:r>
            <w:r w:rsidR="000D1DF0" w:rsidRPr="006C0B25">
              <w:rPr>
                <w:color w:val="000000"/>
                <w:szCs w:val="26"/>
                <w:lang w:val="en-US"/>
              </w:rPr>
              <w:t xml:space="preserve">Council of </w:t>
            </w:r>
            <w:r w:rsidRPr="006C0B25">
              <w:rPr>
                <w:color w:val="000000"/>
                <w:szCs w:val="26"/>
                <w:lang w:val="en-US"/>
              </w:rPr>
              <w:t>Ministers of the Republic of Belarus No. 776</w:t>
            </w:r>
            <w:r>
              <w:rPr>
                <w:color w:val="000000"/>
                <w:szCs w:val="26"/>
                <w:lang w:val="en-US"/>
              </w:rPr>
              <w:t xml:space="preserve"> </w:t>
            </w:r>
            <w:r w:rsidRPr="006C0B25">
              <w:rPr>
                <w:color w:val="000000"/>
                <w:szCs w:val="26"/>
                <w:lang w:val="en-US"/>
              </w:rPr>
              <w:t>“On registration of manufacturer's limit selling prices for medicines”</w:t>
            </w:r>
            <w:r>
              <w:rPr>
                <w:color w:val="000000"/>
                <w:szCs w:val="26"/>
                <w:lang w:val="en-US"/>
              </w:rPr>
              <w:t xml:space="preserve"> </w:t>
            </w:r>
            <w:r w:rsidR="000D1DF0" w:rsidRPr="006C0B25">
              <w:rPr>
                <w:color w:val="000000"/>
                <w:szCs w:val="26"/>
                <w:lang w:val="en-US"/>
              </w:rPr>
              <w:t>31</w:t>
            </w:r>
            <w:r w:rsidR="000D1DF0" w:rsidRPr="000D1DF0">
              <w:rPr>
                <w:color w:val="000000"/>
                <w:szCs w:val="26"/>
                <w:lang w:val="en-US"/>
              </w:rPr>
              <w:t xml:space="preserve"> </w:t>
            </w:r>
            <w:r w:rsidR="000D1DF0" w:rsidRPr="006C0B25">
              <w:rPr>
                <w:color w:val="000000"/>
                <w:szCs w:val="26"/>
                <w:lang w:val="en-US"/>
              </w:rPr>
              <w:t xml:space="preserve">October 2018 </w:t>
            </w:r>
            <w:r>
              <w:rPr>
                <w:color w:val="000000"/>
                <w:szCs w:val="26"/>
                <w:lang w:val="en-US"/>
              </w:rPr>
              <w:t>and the R</w:t>
            </w:r>
            <w:r w:rsidRPr="006C0B25">
              <w:rPr>
                <w:color w:val="000000"/>
                <w:szCs w:val="26"/>
                <w:lang w:val="en-US"/>
              </w:rPr>
              <w:t>esolution o</w:t>
            </w:r>
            <w:r>
              <w:rPr>
                <w:color w:val="000000"/>
                <w:szCs w:val="26"/>
                <w:lang w:val="en-US"/>
              </w:rPr>
              <w:t>f the Ministry of Antimonopoly Regulation and T</w:t>
            </w:r>
            <w:r w:rsidRPr="006C0B25">
              <w:rPr>
                <w:color w:val="000000"/>
                <w:szCs w:val="26"/>
                <w:lang w:val="en-US"/>
              </w:rPr>
              <w:t xml:space="preserve">rade of the Republic of Belarus No. 83 </w:t>
            </w:r>
            <w:r>
              <w:rPr>
                <w:color w:val="000000"/>
                <w:szCs w:val="26"/>
                <w:lang w:val="en-US"/>
              </w:rPr>
              <w:t>“O</w:t>
            </w:r>
            <w:r w:rsidRPr="006C0B25">
              <w:rPr>
                <w:color w:val="000000"/>
                <w:szCs w:val="26"/>
                <w:lang w:val="en-US"/>
              </w:rPr>
              <w:t>n approval of the Instruction on the method of manufacturer's limit selling prices for medicines</w:t>
            </w:r>
            <w:r w:rsidR="001A24CE" w:rsidRPr="006C0B25">
              <w:rPr>
                <w:color w:val="000000"/>
                <w:szCs w:val="26"/>
                <w:lang w:val="en-US"/>
              </w:rPr>
              <w:t xml:space="preserve"> calculation</w:t>
            </w:r>
            <w:r>
              <w:rPr>
                <w:color w:val="000000"/>
                <w:szCs w:val="26"/>
                <w:lang w:val="en-US"/>
              </w:rPr>
              <w:t>”</w:t>
            </w:r>
            <w:r w:rsidR="000D1DF0" w:rsidRPr="006C0B25">
              <w:rPr>
                <w:color w:val="000000"/>
                <w:szCs w:val="26"/>
                <w:lang w:val="en-US"/>
              </w:rPr>
              <w:t xml:space="preserve"> 19November</w:t>
            </w:r>
            <w:r w:rsidR="000D1DF0" w:rsidRPr="000D1DF0">
              <w:rPr>
                <w:color w:val="000000"/>
                <w:szCs w:val="26"/>
                <w:lang w:val="en-US"/>
              </w:rPr>
              <w:t xml:space="preserve"> </w:t>
            </w:r>
            <w:r w:rsidR="000D1DF0" w:rsidRPr="006C0B25">
              <w:rPr>
                <w:color w:val="000000"/>
                <w:szCs w:val="26"/>
                <w:lang w:val="en-US"/>
              </w:rPr>
              <w:t>2018;</w:t>
            </w:r>
          </w:p>
          <w:p w:rsidR="00F75D55" w:rsidRPr="001A24CE" w:rsidRDefault="00FA3CA3" w:rsidP="00F75D55">
            <w:pPr>
              <w:spacing w:line="240" w:lineRule="auto"/>
              <w:ind w:firstLine="716"/>
              <w:rPr>
                <w:lang w:val="en-US"/>
              </w:rPr>
            </w:pPr>
            <w:r w:rsidRPr="006C0B25">
              <w:rPr>
                <w:lang w:val="en-US"/>
              </w:rPr>
              <w:t xml:space="preserve"> </w:t>
            </w:r>
            <w:r w:rsidR="001A24CE" w:rsidRPr="001A24CE">
              <w:rPr>
                <w:lang w:val="en-US"/>
              </w:rPr>
              <w:t xml:space="preserve">providing the necessary </w:t>
            </w:r>
            <w:r w:rsidR="001A24CE">
              <w:rPr>
                <w:lang w:val="en-US"/>
              </w:rPr>
              <w:t>information to the Ministry of H</w:t>
            </w:r>
            <w:r w:rsidR="001A24CE" w:rsidRPr="001A24CE">
              <w:rPr>
                <w:lang w:val="en-US"/>
              </w:rPr>
              <w:t>ealth of the Republic of Belarus and the Ministry of Antimonopoly Regulation and Trade of the Republic of Belarus in accordance with the requirements of normative legal acts regulating the registration of manufacturer's limit selling prices for medicines;</w:t>
            </w:r>
          </w:p>
          <w:p w:rsidR="00F75D55" w:rsidRPr="001A24CE" w:rsidRDefault="001A24CE" w:rsidP="00F75D55">
            <w:pPr>
              <w:spacing w:line="240" w:lineRule="auto"/>
              <w:ind w:firstLine="716"/>
              <w:rPr>
                <w:lang w:val="en-US"/>
              </w:rPr>
            </w:pPr>
            <w:r w:rsidRPr="001A24CE">
              <w:rPr>
                <w:lang w:val="en-US"/>
              </w:rPr>
              <w:t>taking action</w:t>
            </w:r>
            <w:r w:rsidR="000364B1" w:rsidRPr="001A24CE">
              <w:rPr>
                <w:lang w:val="en-US"/>
              </w:rPr>
              <w:t>s</w:t>
            </w:r>
            <w:r w:rsidRPr="001A24CE">
              <w:rPr>
                <w:lang w:val="en-US"/>
              </w:rPr>
              <w:t xml:space="preserve"> to prevent the disappearance of medicines;</w:t>
            </w:r>
          </w:p>
          <w:p w:rsidR="00FA3CA3" w:rsidRPr="001A24CE" w:rsidRDefault="001A24CE" w:rsidP="00F75D55">
            <w:pPr>
              <w:spacing w:line="240" w:lineRule="auto"/>
              <w:ind w:firstLine="716"/>
              <w:rPr>
                <w:lang w:val="en-US"/>
              </w:rPr>
            </w:pPr>
            <w:r w:rsidRPr="001A24CE">
              <w:rPr>
                <w:lang w:val="en-US"/>
              </w:rPr>
              <w:t>promp</w:t>
            </w:r>
            <w:r>
              <w:rPr>
                <w:lang w:val="en-US"/>
              </w:rPr>
              <w:t>t informing of the Ministry of H</w:t>
            </w:r>
            <w:r w:rsidRPr="001A24CE">
              <w:rPr>
                <w:lang w:val="en-US"/>
              </w:rPr>
              <w:t>ealth of the Republic of Belarus on critical cases of the possibility of disappearance of medicines from the market of the Republic of Belarus, the limit selling prices for which are subject to registration;</w:t>
            </w:r>
          </w:p>
          <w:p w:rsidR="00F75D55" w:rsidRPr="001A24CE" w:rsidRDefault="001A24CE" w:rsidP="00F75D55">
            <w:pPr>
              <w:spacing w:line="240" w:lineRule="auto"/>
              <w:ind w:firstLine="716"/>
              <w:rPr>
                <w:lang w:val="en-US"/>
              </w:rPr>
            </w:pPr>
            <w:r w:rsidRPr="001A24CE">
              <w:rPr>
                <w:lang w:val="en-US"/>
              </w:rPr>
              <w:t>submission of proposals to improve the procedure for registration of manufacturer's limit selling prices for medicines in the Republic of Belarus to the Ministry of</w:t>
            </w:r>
            <w:r>
              <w:rPr>
                <w:lang w:val="en-US"/>
              </w:rPr>
              <w:t xml:space="preserve"> H</w:t>
            </w:r>
            <w:r w:rsidRPr="001A24CE">
              <w:rPr>
                <w:lang w:val="en-US"/>
              </w:rPr>
              <w:t>ealth of the Republic of Belarus.</w:t>
            </w:r>
          </w:p>
          <w:p w:rsidR="00F75D55" w:rsidRPr="001A24CE" w:rsidRDefault="00F75D55" w:rsidP="00F75D55">
            <w:pPr>
              <w:spacing w:line="240" w:lineRule="auto"/>
              <w:ind w:firstLine="360"/>
              <w:rPr>
                <w:lang w:val="en-US"/>
              </w:rPr>
            </w:pPr>
          </w:p>
        </w:tc>
      </w:tr>
      <w:tr w:rsidR="00FA3CA3" w:rsidRPr="00BB6EB0" w:rsidTr="00DF6056">
        <w:tc>
          <w:tcPr>
            <w:tcW w:w="10080" w:type="dxa"/>
            <w:shd w:val="clear" w:color="auto" w:fill="auto"/>
          </w:tcPr>
          <w:p w:rsidR="00FA3CA3" w:rsidRPr="00BB6EB0" w:rsidRDefault="00FA3CA3" w:rsidP="007252DF">
            <w:pPr>
              <w:spacing w:line="240" w:lineRule="auto"/>
              <w:ind w:firstLine="716"/>
              <w:rPr>
                <w:b/>
                <w:lang w:val="en-US"/>
              </w:rPr>
            </w:pPr>
            <w:r w:rsidRPr="00BB6EB0">
              <w:rPr>
                <w:b/>
                <w:lang w:val="en-US"/>
              </w:rPr>
              <w:t xml:space="preserve">3. </w:t>
            </w:r>
            <w:r w:rsidR="0053243F" w:rsidRPr="00BB6EB0">
              <w:rPr>
                <w:b/>
                <w:lang w:val="en-US"/>
              </w:rPr>
              <w:t>F</w:t>
            </w:r>
            <w:r w:rsidR="0053243F">
              <w:rPr>
                <w:b/>
                <w:lang w:val="en-US"/>
              </w:rPr>
              <w:t>inal</w:t>
            </w:r>
            <w:r w:rsidR="0053243F" w:rsidRPr="00BB6EB0">
              <w:rPr>
                <w:b/>
                <w:lang w:val="en-US"/>
              </w:rPr>
              <w:t xml:space="preserve"> </w:t>
            </w:r>
            <w:r w:rsidR="0053243F">
              <w:rPr>
                <w:b/>
                <w:lang w:val="en-US"/>
              </w:rPr>
              <w:t>remarks</w:t>
            </w:r>
          </w:p>
          <w:p w:rsidR="00FA3CA3" w:rsidRPr="001A24CE" w:rsidRDefault="00FA3CA3" w:rsidP="007252DF">
            <w:pPr>
              <w:spacing w:line="240" w:lineRule="auto"/>
              <w:ind w:firstLine="716"/>
              <w:rPr>
                <w:lang w:val="en-US"/>
              </w:rPr>
            </w:pPr>
            <w:r w:rsidRPr="001A24CE">
              <w:rPr>
                <w:lang w:val="en-US"/>
              </w:rPr>
              <w:t xml:space="preserve">3.1. </w:t>
            </w:r>
            <w:r w:rsidR="001A24CE">
              <w:rPr>
                <w:lang w:val="en-US"/>
              </w:rPr>
              <w:t>T</w:t>
            </w:r>
            <w:r w:rsidR="001A24CE" w:rsidRPr="001A24CE">
              <w:rPr>
                <w:lang w:val="en-US"/>
              </w:rPr>
              <w:t xml:space="preserve">he Parties </w:t>
            </w:r>
            <w:r w:rsidR="001A24CE">
              <w:rPr>
                <w:lang w:val="en-US"/>
              </w:rPr>
              <w:t>will</w:t>
            </w:r>
            <w:r w:rsidR="001A24CE" w:rsidRPr="001A24CE">
              <w:rPr>
                <w:lang w:val="en-US"/>
              </w:rPr>
              <w:t xml:space="preserve"> be guided by the current legislation of the Republic of Belarus </w:t>
            </w:r>
            <w:r w:rsidR="001A24CE">
              <w:rPr>
                <w:lang w:val="en-US"/>
              </w:rPr>
              <w:t>w</w:t>
            </w:r>
            <w:r w:rsidR="001A24CE" w:rsidRPr="001A24CE">
              <w:rPr>
                <w:lang w:val="en-US"/>
              </w:rPr>
              <w:t xml:space="preserve">hen signing </w:t>
            </w:r>
            <w:r w:rsidR="001A24CE">
              <w:rPr>
                <w:lang w:val="en-US"/>
              </w:rPr>
              <w:t>the</w:t>
            </w:r>
            <w:r w:rsidR="001A24CE" w:rsidRPr="001A24CE">
              <w:rPr>
                <w:lang w:val="en-US"/>
              </w:rPr>
              <w:t xml:space="preserve"> Memorandum.</w:t>
            </w:r>
          </w:p>
          <w:p w:rsidR="00FA3CA3" w:rsidRPr="001A24CE" w:rsidRDefault="00FA3CA3" w:rsidP="007252DF">
            <w:pPr>
              <w:spacing w:line="240" w:lineRule="auto"/>
              <w:ind w:firstLine="716"/>
              <w:rPr>
                <w:lang w:val="en-US"/>
              </w:rPr>
            </w:pPr>
            <w:r w:rsidRPr="002D6E95">
              <w:rPr>
                <w:lang w:val="en-US"/>
              </w:rPr>
              <w:t xml:space="preserve">3.2. </w:t>
            </w:r>
            <w:r w:rsidR="001A24CE">
              <w:rPr>
                <w:lang w:val="en-US"/>
              </w:rPr>
              <w:t>The</w:t>
            </w:r>
            <w:r w:rsidR="001A24CE" w:rsidRPr="001A24CE">
              <w:rPr>
                <w:lang w:val="en-US"/>
              </w:rPr>
              <w:t xml:space="preserve"> Memorandum is concluded for a period of up to </w:t>
            </w:r>
            <w:r w:rsidR="002D6E95">
              <w:rPr>
                <w:lang w:val="en-US"/>
              </w:rPr>
              <w:t xml:space="preserve">           2019 and will</w:t>
            </w:r>
            <w:r w:rsidR="001A24CE" w:rsidRPr="001A24CE">
              <w:rPr>
                <w:lang w:val="en-US"/>
              </w:rPr>
              <w:t xml:space="preserve"> enter into force on the date of its signing.</w:t>
            </w:r>
          </w:p>
          <w:p w:rsidR="00FA3CA3" w:rsidRPr="002D6E95" w:rsidRDefault="00FA3CA3" w:rsidP="002D6E95">
            <w:pPr>
              <w:spacing w:line="240" w:lineRule="auto"/>
              <w:ind w:firstLine="716"/>
              <w:rPr>
                <w:b/>
                <w:lang w:val="en-US"/>
              </w:rPr>
            </w:pPr>
            <w:r w:rsidRPr="00BB6EB0">
              <w:rPr>
                <w:lang w:val="en-US"/>
              </w:rPr>
              <w:t xml:space="preserve">3.3. </w:t>
            </w:r>
            <w:r w:rsidR="002D6E95" w:rsidRPr="002D6E95">
              <w:rPr>
                <w:lang w:val="en-US"/>
              </w:rPr>
              <w:t xml:space="preserve">The assessment of the terms of the Memorandum is </w:t>
            </w:r>
            <w:r w:rsidR="002D6E95">
              <w:rPr>
                <w:lang w:val="en-US"/>
              </w:rPr>
              <w:t>carried out on quarterly</w:t>
            </w:r>
            <w:r w:rsidR="002D6E95" w:rsidRPr="002D6E95">
              <w:rPr>
                <w:lang w:val="en-US"/>
              </w:rPr>
              <w:t xml:space="preserve"> basis.</w:t>
            </w:r>
          </w:p>
        </w:tc>
      </w:tr>
    </w:tbl>
    <w:p w:rsidR="00FA3CA3" w:rsidRPr="002D6E95" w:rsidRDefault="00FA3CA3" w:rsidP="00FA3CA3">
      <w:pPr>
        <w:rPr>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420"/>
        <w:gridCol w:w="2174"/>
      </w:tblGrid>
      <w:tr w:rsidR="00FA3CA3" w:rsidRPr="0053243F" w:rsidTr="00DF6056">
        <w:tc>
          <w:tcPr>
            <w:tcW w:w="4500" w:type="dxa"/>
            <w:shd w:val="clear" w:color="auto" w:fill="auto"/>
          </w:tcPr>
          <w:p w:rsidR="00FA3CA3" w:rsidRPr="0053243F" w:rsidRDefault="0053243F" w:rsidP="00DF6056">
            <w:pPr>
              <w:spacing w:line="240" w:lineRule="auto"/>
              <w:ind w:firstLine="0"/>
              <w:rPr>
                <w:lang w:val="en-US"/>
              </w:rPr>
            </w:pPr>
            <w:r w:rsidRPr="0053243F">
              <w:rPr>
                <w:b/>
                <w:lang w:val="en-US"/>
              </w:rPr>
              <w:t>The Ministry of Health of the Republic of Belarus</w:t>
            </w:r>
          </w:p>
        </w:tc>
        <w:tc>
          <w:tcPr>
            <w:tcW w:w="3420" w:type="dxa"/>
            <w:shd w:val="clear" w:color="auto" w:fill="auto"/>
          </w:tcPr>
          <w:p w:rsidR="0053243F" w:rsidRDefault="0053243F" w:rsidP="00DF6056">
            <w:pPr>
              <w:spacing w:line="240" w:lineRule="auto"/>
              <w:ind w:firstLine="0"/>
              <w:rPr>
                <w:lang w:val="en-US"/>
              </w:rPr>
            </w:pPr>
            <w:r w:rsidRPr="0053243F">
              <w:rPr>
                <w:lang w:val="en-US"/>
              </w:rPr>
              <w:t xml:space="preserve">Valery Malashko </w:t>
            </w:r>
          </w:p>
          <w:p w:rsidR="00FA3CA3" w:rsidRPr="00936206" w:rsidRDefault="0053243F" w:rsidP="00DF6056">
            <w:pPr>
              <w:spacing w:line="240" w:lineRule="auto"/>
              <w:ind w:firstLine="0"/>
              <w:rPr>
                <w:lang w:val="en-US"/>
              </w:rPr>
            </w:pPr>
            <w:r w:rsidRPr="0053243F">
              <w:rPr>
                <w:lang w:val="en-US"/>
              </w:rPr>
              <w:t>Minister</w:t>
            </w:r>
          </w:p>
        </w:tc>
        <w:tc>
          <w:tcPr>
            <w:tcW w:w="2174" w:type="dxa"/>
            <w:shd w:val="clear" w:color="auto" w:fill="auto"/>
          </w:tcPr>
          <w:p w:rsidR="00FA3CA3" w:rsidRPr="00936206" w:rsidRDefault="00FA3CA3" w:rsidP="00DF6056">
            <w:pPr>
              <w:spacing w:line="240" w:lineRule="auto"/>
              <w:ind w:firstLine="0"/>
              <w:rPr>
                <w:lang w:val="en-US"/>
              </w:rPr>
            </w:pPr>
          </w:p>
        </w:tc>
      </w:tr>
      <w:tr w:rsidR="00FA3CA3" w:rsidRPr="0053243F" w:rsidTr="00DF6056">
        <w:tc>
          <w:tcPr>
            <w:tcW w:w="10094" w:type="dxa"/>
            <w:gridSpan w:val="3"/>
            <w:shd w:val="clear" w:color="auto" w:fill="auto"/>
          </w:tcPr>
          <w:p w:rsidR="00FA3CA3" w:rsidRPr="0053243F" w:rsidRDefault="0053243F" w:rsidP="007252DF">
            <w:pPr>
              <w:spacing w:line="240" w:lineRule="auto"/>
              <w:ind w:firstLine="0"/>
              <w:rPr>
                <w:b/>
                <w:lang w:val="en-US"/>
              </w:rPr>
            </w:pPr>
            <w:r w:rsidRPr="0053243F">
              <w:rPr>
                <w:b/>
                <w:lang w:val="en-US"/>
              </w:rPr>
              <w:t>The pharmaceutical manufacturers</w:t>
            </w:r>
          </w:p>
        </w:tc>
      </w:tr>
      <w:tr w:rsidR="00FA3CA3" w:rsidRPr="0053243F" w:rsidTr="00DF6056">
        <w:tc>
          <w:tcPr>
            <w:tcW w:w="4500" w:type="dxa"/>
            <w:shd w:val="clear" w:color="auto" w:fill="auto"/>
          </w:tcPr>
          <w:p w:rsidR="0053243F" w:rsidRDefault="0053243F" w:rsidP="00DF6056">
            <w:pPr>
              <w:suppressAutoHyphens/>
              <w:spacing w:line="240" w:lineRule="auto"/>
              <w:ind w:firstLine="0"/>
              <w:jc w:val="center"/>
              <w:rPr>
                <w:i/>
                <w:szCs w:val="26"/>
                <w:lang w:val="en-US"/>
              </w:rPr>
            </w:pPr>
            <w:r w:rsidRPr="0053243F">
              <w:rPr>
                <w:i/>
                <w:szCs w:val="26"/>
                <w:lang w:val="en-US"/>
              </w:rPr>
              <w:t>Name of legal entity</w:t>
            </w:r>
          </w:p>
          <w:p w:rsidR="00FA3CA3" w:rsidRPr="0053243F" w:rsidRDefault="0053243F" w:rsidP="00DF6056">
            <w:pPr>
              <w:suppressAutoHyphens/>
              <w:spacing w:line="240" w:lineRule="auto"/>
              <w:ind w:firstLine="0"/>
              <w:jc w:val="center"/>
              <w:rPr>
                <w:i/>
                <w:szCs w:val="26"/>
                <w:lang w:val="en-US"/>
              </w:rPr>
            </w:pPr>
            <w:r w:rsidRPr="0053243F">
              <w:rPr>
                <w:i/>
                <w:szCs w:val="26"/>
                <w:lang w:val="en-US"/>
              </w:rPr>
              <w:t>(individual entrepreneur)</w:t>
            </w:r>
          </w:p>
          <w:p w:rsidR="00FA3CA3" w:rsidRPr="0053243F" w:rsidRDefault="00FA3CA3" w:rsidP="00DF6056">
            <w:pPr>
              <w:suppressAutoHyphens/>
              <w:spacing w:line="240" w:lineRule="auto"/>
              <w:ind w:firstLine="0"/>
              <w:jc w:val="center"/>
              <w:rPr>
                <w:i/>
                <w:szCs w:val="26"/>
                <w:lang w:val="en-US"/>
              </w:rPr>
            </w:pPr>
          </w:p>
        </w:tc>
        <w:tc>
          <w:tcPr>
            <w:tcW w:w="3420" w:type="dxa"/>
            <w:shd w:val="clear" w:color="auto" w:fill="auto"/>
          </w:tcPr>
          <w:p w:rsidR="00FA3CA3" w:rsidRPr="0053243F" w:rsidRDefault="00792E35" w:rsidP="0053243F">
            <w:pPr>
              <w:spacing w:line="240" w:lineRule="auto"/>
              <w:ind w:firstLine="0"/>
              <w:jc w:val="center"/>
              <w:rPr>
                <w:i/>
                <w:szCs w:val="26"/>
                <w:lang w:val="en-US"/>
              </w:rPr>
            </w:pPr>
            <w:r>
              <w:rPr>
                <w:i/>
                <w:szCs w:val="26"/>
                <w:lang w:val="en-US"/>
              </w:rPr>
              <w:t>F</w:t>
            </w:r>
            <w:r w:rsidR="0053243F" w:rsidRPr="00792E35">
              <w:rPr>
                <w:i/>
                <w:szCs w:val="26"/>
                <w:lang w:val="en-US"/>
              </w:rPr>
              <w:t>irst name</w:t>
            </w:r>
            <w:r w:rsidRPr="00792E35">
              <w:rPr>
                <w:i/>
                <w:szCs w:val="26"/>
                <w:lang w:val="en-US"/>
              </w:rPr>
              <w:t xml:space="preserve"> </w:t>
            </w:r>
            <w:r>
              <w:rPr>
                <w:i/>
                <w:szCs w:val="26"/>
                <w:lang w:val="en-US"/>
              </w:rPr>
              <w:t>and l</w:t>
            </w:r>
            <w:r w:rsidRPr="00792E35">
              <w:rPr>
                <w:i/>
                <w:szCs w:val="26"/>
                <w:lang w:val="en-US"/>
              </w:rPr>
              <w:t>ast name</w:t>
            </w:r>
          </w:p>
        </w:tc>
        <w:tc>
          <w:tcPr>
            <w:tcW w:w="2174" w:type="dxa"/>
            <w:shd w:val="clear" w:color="auto" w:fill="auto"/>
          </w:tcPr>
          <w:p w:rsidR="00FA3CA3" w:rsidRPr="0053243F" w:rsidRDefault="0053243F" w:rsidP="0053243F">
            <w:pPr>
              <w:spacing w:line="240" w:lineRule="auto"/>
              <w:ind w:firstLine="0"/>
              <w:jc w:val="center"/>
              <w:rPr>
                <w:i/>
                <w:szCs w:val="26"/>
                <w:lang w:val="en-US"/>
              </w:rPr>
            </w:pPr>
            <w:r>
              <w:rPr>
                <w:i/>
                <w:szCs w:val="26"/>
                <w:lang w:val="en-US"/>
              </w:rPr>
              <w:t>S</w:t>
            </w:r>
            <w:r w:rsidRPr="0053243F">
              <w:rPr>
                <w:i/>
                <w:szCs w:val="26"/>
              </w:rPr>
              <w:t>ignature</w:t>
            </w: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center"/>
              <w:rPr>
                <w:i/>
                <w:szCs w:val="26"/>
                <w:lang w:val="en-US"/>
              </w:rPr>
            </w:pPr>
          </w:p>
        </w:tc>
        <w:tc>
          <w:tcPr>
            <w:tcW w:w="3420" w:type="dxa"/>
            <w:shd w:val="clear" w:color="auto" w:fill="auto"/>
          </w:tcPr>
          <w:p w:rsidR="00FA3CA3" w:rsidRPr="0053243F" w:rsidRDefault="00FA3CA3" w:rsidP="00DF6056">
            <w:pPr>
              <w:spacing w:line="240" w:lineRule="auto"/>
              <w:ind w:firstLine="0"/>
              <w:jc w:val="center"/>
              <w:rPr>
                <w:i/>
                <w:szCs w:val="26"/>
                <w:lang w:val="en-US"/>
              </w:rPr>
            </w:pPr>
          </w:p>
        </w:tc>
        <w:tc>
          <w:tcPr>
            <w:tcW w:w="2174" w:type="dxa"/>
            <w:shd w:val="clear" w:color="auto" w:fill="auto"/>
          </w:tcPr>
          <w:p w:rsidR="00FA3CA3" w:rsidRPr="0053243F" w:rsidRDefault="00FA3CA3" w:rsidP="00DF6056">
            <w:pPr>
              <w:spacing w:line="240" w:lineRule="auto"/>
              <w:ind w:firstLine="0"/>
              <w:jc w:val="center"/>
              <w:rPr>
                <w:i/>
                <w:szCs w:val="26"/>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FA3CA3" w:rsidRPr="0053243F" w:rsidTr="00DF6056">
        <w:tc>
          <w:tcPr>
            <w:tcW w:w="4500" w:type="dxa"/>
            <w:shd w:val="clear" w:color="auto" w:fill="auto"/>
          </w:tcPr>
          <w:p w:rsidR="00FA3CA3" w:rsidRPr="0053243F" w:rsidRDefault="00FA3CA3" w:rsidP="00DF6056">
            <w:pPr>
              <w:suppressAutoHyphens/>
              <w:spacing w:line="240" w:lineRule="auto"/>
              <w:ind w:firstLine="0"/>
              <w:jc w:val="left"/>
              <w:rPr>
                <w:sz w:val="28"/>
                <w:szCs w:val="28"/>
                <w:lang w:val="en-US"/>
              </w:rPr>
            </w:pPr>
          </w:p>
          <w:p w:rsidR="00FA3CA3" w:rsidRPr="0053243F" w:rsidRDefault="00FA3CA3" w:rsidP="00DF6056">
            <w:pPr>
              <w:suppressAutoHyphens/>
              <w:spacing w:line="240" w:lineRule="auto"/>
              <w:ind w:firstLine="0"/>
              <w:jc w:val="left"/>
              <w:rPr>
                <w:sz w:val="28"/>
                <w:szCs w:val="28"/>
                <w:lang w:val="en-US"/>
              </w:rPr>
            </w:pPr>
          </w:p>
        </w:tc>
        <w:tc>
          <w:tcPr>
            <w:tcW w:w="3420" w:type="dxa"/>
            <w:shd w:val="clear" w:color="auto" w:fill="auto"/>
          </w:tcPr>
          <w:p w:rsidR="00FA3CA3" w:rsidRPr="0053243F" w:rsidRDefault="00FA3CA3" w:rsidP="00DF6056">
            <w:pPr>
              <w:spacing w:line="240" w:lineRule="auto"/>
              <w:ind w:firstLine="0"/>
              <w:rPr>
                <w:sz w:val="22"/>
                <w:lang w:val="en-US"/>
              </w:rPr>
            </w:pPr>
          </w:p>
        </w:tc>
        <w:tc>
          <w:tcPr>
            <w:tcW w:w="2174" w:type="dxa"/>
            <w:shd w:val="clear" w:color="auto" w:fill="auto"/>
          </w:tcPr>
          <w:p w:rsidR="00FA3CA3" w:rsidRPr="0053243F" w:rsidRDefault="00FA3CA3"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r w:rsidR="007252DF" w:rsidRPr="0053243F" w:rsidTr="00DF6056">
        <w:tc>
          <w:tcPr>
            <w:tcW w:w="4500" w:type="dxa"/>
            <w:shd w:val="clear" w:color="auto" w:fill="auto"/>
          </w:tcPr>
          <w:p w:rsidR="007252DF" w:rsidRPr="0053243F" w:rsidRDefault="007252DF" w:rsidP="00DF6056">
            <w:pPr>
              <w:suppressAutoHyphens/>
              <w:spacing w:line="240" w:lineRule="auto"/>
              <w:ind w:firstLine="0"/>
              <w:jc w:val="left"/>
              <w:rPr>
                <w:sz w:val="28"/>
                <w:szCs w:val="28"/>
                <w:lang w:val="en-US"/>
              </w:rPr>
            </w:pPr>
          </w:p>
        </w:tc>
        <w:tc>
          <w:tcPr>
            <w:tcW w:w="3420" w:type="dxa"/>
            <w:shd w:val="clear" w:color="auto" w:fill="auto"/>
          </w:tcPr>
          <w:p w:rsidR="007252DF" w:rsidRPr="0053243F" w:rsidRDefault="007252DF" w:rsidP="00DF6056">
            <w:pPr>
              <w:spacing w:line="240" w:lineRule="auto"/>
              <w:ind w:firstLine="0"/>
              <w:rPr>
                <w:sz w:val="22"/>
                <w:lang w:val="en-US"/>
              </w:rPr>
            </w:pPr>
          </w:p>
        </w:tc>
        <w:tc>
          <w:tcPr>
            <w:tcW w:w="2174" w:type="dxa"/>
            <w:shd w:val="clear" w:color="auto" w:fill="auto"/>
          </w:tcPr>
          <w:p w:rsidR="007252DF" w:rsidRPr="0053243F" w:rsidRDefault="007252DF" w:rsidP="00DF6056">
            <w:pPr>
              <w:spacing w:line="240" w:lineRule="auto"/>
              <w:ind w:firstLine="0"/>
              <w:rPr>
                <w:sz w:val="22"/>
                <w:lang w:val="en-US"/>
              </w:rPr>
            </w:pPr>
          </w:p>
        </w:tc>
      </w:tr>
    </w:tbl>
    <w:p w:rsidR="00FA3CA3" w:rsidRPr="0053243F" w:rsidRDefault="00FA3CA3" w:rsidP="00FA3CA3">
      <w:pPr>
        <w:rPr>
          <w:lang w:val="en-US"/>
        </w:rPr>
      </w:pPr>
    </w:p>
    <w:p w:rsidR="00DF6056" w:rsidRPr="0053243F" w:rsidRDefault="00DF6056">
      <w:pPr>
        <w:rPr>
          <w:lang w:val="en-US"/>
        </w:rPr>
      </w:pPr>
    </w:p>
    <w:sectPr w:rsidR="00DF6056" w:rsidRPr="0053243F" w:rsidSect="00DF6056">
      <w:pgSz w:w="11906" w:h="16838"/>
      <w:pgMar w:top="567" w:right="1134" w:bottom="1440"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A3"/>
    <w:rsid w:val="00030044"/>
    <w:rsid w:val="000364B1"/>
    <w:rsid w:val="000D1DF0"/>
    <w:rsid w:val="001A24CE"/>
    <w:rsid w:val="002D6E95"/>
    <w:rsid w:val="00334C08"/>
    <w:rsid w:val="0046412F"/>
    <w:rsid w:val="0048451C"/>
    <w:rsid w:val="004C4A29"/>
    <w:rsid w:val="00522BC9"/>
    <w:rsid w:val="00525673"/>
    <w:rsid w:val="0053243F"/>
    <w:rsid w:val="00617D4B"/>
    <w:rsid w:val="006644C5"/>
    <w:rsid w:val="006C0B25"/>
    <w:rsid w:val="006C1EAB"/>
    <w:rsid w:val="007252DF"/>
    <w:rsid w:val="00792E35"/>
    <w:rsid w:val="007C3B7C"/>
    <w:rsid w:val="009111DD"/>
    <w:rsid w:val="00A11BA7"/>
    <w:rsid w:val="00B57BD6"/>
    <w:rsid w:val="00B73CD0"/>
    <w:rsid w:val="00BB6EB0"/>
    <w:rsid w:val="00C93D82"/>
    <w:rsid w:val="00CD68F2"/>
    <w:rsid w:val="00DD597E"/>
    <w:rsid w:val="00DF6056"/>
    <w:rsid w:val="00F75D55"/>
    <w:rsid w:val="00FA3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6DD03-B4E8-4B31-B8D6-216ED5E3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A3"/>
    <w:pPr>
      <w:spacing w:after="0" w:line="360" w:lineRule="auto"/>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FA3CA3"/>
    <w:pPr>
      <w:autoSpaceDE w:val="0"/>
      <w:autoSpaceDN w:val="0"/>
      <w:adjustRightInd w:val="0"/>
      <w:spacing w:line="240" w:lineRule="auto"/>
      <w:ind w:firstLine="0"/>
      <w:jc w:val="left"/>
    </w:pPr>
    <w:rPr>
      <w:rFonts w:ascii="Arial" w:hAnsi="Arial" w:cs="Arial"/>
      <w:sz w:val="20"/>
      <w:szCs w:val="20"/>
      <w:lang w:val="en-ZA" w:eastAsia="en-ZA"/>
    </w:rPr>
  </w:style>
  <w:style w:type="character" w:styleId="a4">
    <w:name w:val="Hyperlink"/>
    <w:basedOn w:val="a0"/>
    <w:uiPriority w:val="99"/>
    <w:unhideWhenUsed/>
    <w:rsid w:val="00792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eth.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ОА</dc:creator>
  <cp:lastModifiedBy>Суворова Екатерина Анатольевна</cp:lastModifiedBy>
  <cp:revision>2</cp:revision>
  <cp:lastPrinted>2018-11-23T09:41:00Z</cp:lastPrinted>
  <dcterms:created xsi:type="dcterms:W3CDTF">2018-11-23T13:55:00Z</dcterms:created>
  <dcterms:modified xsi:type="dcterms:W3CDTF">2018-11-23T13:55:00Z</dcterms:modified>
</cp:coreProperties>
</file>