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C72F" w14:textId="7A41FD1B" w:rsidR="00132E67" w:rsidRPr="00226BE5" w:rsidRDefault="00F017F9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132E67" w:rsidRPr="00226BE5">
        <w:rPr>
          <w:rFonts w:ascii="Times New Roman" w:hAnsi="Times New Roman" w:cs="Times New Roman"/>
          <w:sz w:val="30"/>
          <w:szCs w:val="30"/>
        </w:rPr>
        <w:t>2023 г</w:t>
      </w:r>
      <w:r w:rsidR="00580421">
        <w:rPr>
          <w:rFonts w:ascii="Times New Roman" w:hAnsi="Times New Roman" w:cs="Times New Roman"/>
          <w:sz w:val="30"/>
          <w:szCs w:val="30"/>
        </w:rPr>
        <w:t>од</w:t>
      </w:r>
      <w:r>
        <w:rPr>
          <w:rFonts w:ascii="Times New Roman" w:hAnsi="Times New Roman" w:cs="Times New Roman"/>
          <w:sz w:val="30"/>
          <w:szCs w:val="30"/>
        </w:rPr>
        <w:t>у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рассмотрено </w:t>
      </w:r>
      <w:r>
        <w:rPr>
          <w:rFonts w:ascii="Times New Roman" w:hAnsi="Times New Roman" w:cs="Times New Roman"/>
          <w:sz w:val="30"/>
          <w:szCs w:val="30"/>
        </w:rPr>
        <w:t>354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обращения в сфере антимонопольного регулирования, в том числе </w:t>
      </w:r>
      <w:r>
        <w:rPr>
          <w:rFonts w:ascii="Times New Roman" w:hAnsi="Times New Roman" w:cs="Times New Roman"/>
          <w:sz w:val="30"/>
          <w:szCs w:val="30"/>
        </w:rPr>
        <w:t>244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по вопросам разъяснения антимонопольного законодательства, </w:t>
      </w:r>
      <w:r>
        <w:rPr>
          <w:rFonts w:ascii="Times New Roman" w:hAnsi="Times New Roman" w:cs="Times New Roman"/>
          <w:sz w:val="30"/>
          <w:szCs w:val="30"/>
        </w:rPr>
        <w:t>110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по вопросам нарушения антимонопольного законодательства.</w:t>
      </w:r>
    </w:p>
    <w:p w14:paraId="15351072" w14:textId="7DEA307F" w:rsidR="00132E67" w:rsidRDefault="00132E67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BE5">
        <w:rPr>
          <w:rFonts w:ascii="Times New Roman" w:hAnsi="Times New Roman" w:cs="Times New Roman"/>
          <w:sz w:val="30"/>
          <w:szCs w:val="30"/>
        </w:rPr>
        <w:t>Комиссией МАРТ по установлению факта наличия (отсутствия) нарушения антимонопольного законода</w:t>
      </w:r>
      <w:r w:rsidR="00226BE5">
        <w:rPr>
          <w:rFonts w:ascii="Times New Roman" w:hAnsi="Times New Roman" w:cs="Times New Roman"/>
          <w:sz w:val="30"/>
          <w:szCs w:val="30"/>
        </w:rPr>
        <w:t xml:space="preserve">тельства в </w:t>
      </w:r>
      <w:r w:rsidR="00F017F9">
        <w:rPr>
          <w:rFonts w:ascii="Times New Roman" w:hAnsi="Times New Roman" w:cs="Times New Roman"/>
          <w:sz w:val="30"/>
          <w:szCs w:val="30"/>
        </w:rPr>
        <w:t>отчетном периоде</w:t>
      </w:r>
      <w:r w:rsidR="001D2145">
        <w:rPr>
          <w:rFonts w:ascii="Times New Roman" w:hAnsi="Times New Roman" w:cs="Times New Roman"/>
          <w:sz w:val="30"/>
          <w:szCs w:val="30"/>
        </w:rPr>
        <w:t xml:space="preserve"> </w:t>
      </w:r>
      <w:r w:rsidRPr="00226BE5">
        <w:rPr>
          <w:rFonts w:ascii="Times New Roman" w:hAnsi="Times New Roman" w:cs="Times New Roman"/>
          <w:sz w:val="30"/>
          <w:szCs w:val="30"/>
        </w:rPr>
        <w:t xml:space="preserve">рассмотрено </w:t>
      </w:r>
      <w:r w:rsidR="000C623C">
        <w:rPr>
          <w:rFonts w:ascii="Times New Roman" w:hAnsi="Times New Roman" w:cs="Times New Roman"/>
          <w:sz w:val="30"/>
          <w:szCs w:val="30"/>
        </w:rPr>
        <w:t>125</w:t>
      </w:r>
      <w:r w:rsidRPr="00226BE5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A076E2">
        <w:rPr>
          <w:rFonts w:ascii="Times New Roman" w:hAnsi="Times New Roman" w:cs="Times New Roman"/>
          <w:sz w:val="30"/>
          <w:szCs w:val="30"/>
        </w:rPr>
        <w:t>й</w:t>
      </w:r>
      <w:r w:rsidRPr="00226BE5">
        <w:rPr>
          <w:rFonts w:ascii="Times New Roman" w:hAnsi="Times New Roman" w:cs="Times New Roman"/>
          <w:sz w:val="30"/>
          <w:szCs w:val="30"/>
        </w:rPr>
        <w:t xml:space="preserve"> о нарушении антимонопольного законодательства, установлено </w:t>
      </w:r>
      <w:r w:rsidR="00A076E2">
        <w:rPr>
          <w:rFonts w:ascii="Times New Roman" w:hAnsi="Times New Roman" w:cs="Times New Roman"/>
          <w:sz w:val="30"/>
          <w:szCs w:val="30"/>
        </w:rPr>
        <w:t>1</w:t>
      </w:r>
      <w:r w:rsidR="00F017F9">
        <w:rPr>
          <w:rFonts w:ascii="Times New Roman" w:hAnsi="Times New Roman" w:cs="Times New Roman"/>
          <w:sz w:val="30"/>
          <w:szCs w:val="30"/>
        </w:rPr>
        <w:t>3</w:t>
      </w:r>
      <w:r w:rsidRPr="00226BE5">
        <w:rPr>
          <w:rFonts w:ascii="Times New Roman" w:hAnsi="Times New Roman" w:cs="Times New Roman"/>
          <w:sz w:val="30"/>
          <w:szCs w:val="30"/>
        </w:rPr>
        <w:t xml:space="preserve"> фактов наличия нарушения</w:t>
      </w:r>
      <w:r w:rsidR="001D2145">
        <w:rPr>
          <w:rFonts w:ascii="Times New Roman" w:hAnsi="Times New Roman" w:cs="Times New Roman"/>
          <w:sz w:val="30"/>
          <w:szCs w:val="30"/>
        </w:rPr>
        <w:t xml:space="preserve">. Кроме того, за нарушение антимонопольного законодательства </w:t>
      </w:r>
      <w:r w:rsidR="003E41BF">
        <w:rPr>
          <w:rFonts w:ascii="Times New Roman" w:hAnsi="Times New Roman" w:cs="Times New Roman"/>
          <w:sz w:val="30"/>
          <w:szCs w:val="30"/>
        </w:rPr>
        <w:t>Министерством</w:t>
      </w:r>
      <w:r w:rsidRPr="00226BE5">
        <w:rPr>
          <w:rFonts w:ascii="Times New Roman" w:hAnsi="Times New Roman" w:cs="Times New Roman"/>
          <w:sz w:val="30"/>
          <w:szCs w:val="30"/>
        </w:rPr>
        <w:t xml:space="preserve"> вынесено </w:t>
      </w:r>
      <w:r w:rsidR="00A076E2">
        <w:rPr>
          <w:rFonts w:ascii="Times New Roman" w:hAnsi="Times New Roman" w:cs="Times New Roman"/>
          <w:sz w:val="30"/>
          <w:szCs w:val="30"/>
        </w:rPr>
        <w:t>21</w:t>
      </w:r>
      <w:r w:rsidR="001D2145">
        <w:rPr>
          <w:rFonts w:ascii="Times New Roman" w:hAnsi="Times New Roman" w:cs="Times New Roman"/>
          <w:sz w:val="30"/>
          <w:szCs w:val="30"/>
        </w:rPr>
        <w:t> </w:t>
      </w:r>
      <w:r w:rsidRPr="00226BE5">
        <w:rPr>
          <w:rFonts w:ascii="Times New Roman" w:hAnsi="Times New Roman" w:cs="Times New Roman"/>
          <w:sz w:val="30"/>
          <w:szCs w:val="30"/>
        </w:rPr>
        <w:t>предписани</w:t>
      </w:r>
      <w:r w:rsidR="00A076E2">
        <w:rPr>
          <w:rFonts w:ascii="Times New Roman" w:hAnsi="Times New Roman" w:cs="Times New Roman"/>
          <w:sz w:val="30"/>
          <w:szCs w:val="30"/>
        </w:rPr>
        <w:t>е</w:t>
      </w:r>
      <w:r w:rsidRPr="00226BE5">
        <w:rPr>
          <w:rFonts w:ascii="Times New Roman" w:hAnsi="Times New Roman" w:cs="Times New Roman"/>
          <w:sz w:val="30"/>
          <w:szCs w:val="30"/>
        </w:rPr>
        <w:t>.</w:t>
      </w:r>
    </w:p>
    <w:p w14:paraId="2FC4ABFF" w14:textId="77777777" w:rsidR="006B5692" w:rsidRDefault="006B5692" w:rsidP="006B56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B5692">
        <w:rPr>
          <w:rFonts w:ascii="Times New Roman" w:hAnsi="Times New Roman" w:cs="Times New Roman"/>
          <w:sz w:val="30"/>
          <w:szCs w:val="30"/>
        </w:rPr>
        <w:t>Ознакомиться с решениями в разрезе видов нарушений можно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5692">
        <w:rPr>
          <w:rFonts w:ascii="Times New Roman" w:hAnsi="Times New Roman" w:cs="Times New Roman"/>
          <w:sz w:val="30"/>
          <w:szCs w:val="30"/>
        </w:rPr>
        <w:t xml:space="preserve">разделе </w:t>
      </w:r>
      <w:hyperlink r:id="rId4" w:history="1">
        <w:r w:rsidRPr="006B5692">
          <w:rPr>
            <w:rStyle w:val="a5"/>
            <w:rFonts w:ascii="Times New Roman" w:hAnsi="Times New Roman" w:cs="Times New Roman"/>
            <w:sz w:val="30"/>
            <w:szCs w:val="30"/>
          </w:rPr>
          <w:t>Комиссия по установлению факта наличия (отсутствия) нарушения антимонопольного законодательства.</w:t>
        </w:r>
      </w:hyperlink>
      <w:r w:rsidRPr="006B5692">
        <w:rPr>
          <w:rFonts w:ascii="Times New Roman" w:hAnsi="Times New Roman" w:cs="Times New Roman"/>
          <w:sz w:val="30"/>
          <w:szCs w:val="30"/>
        </w:rPr>
        <w:cr/>
      </w:r>
    </w:p>
    <w:p w14:paraId="27073386" w14:textId="2EC4A1D9" w:rsidR="00132E67" w:rsidRPr="00226BE5" w:rsidRDefault="006B5692" w:rsidP="006B56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о результатам всех проведенных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132E67" w:rsidRPr="00226BE5">
        <w:rPr>
          <w:rFonts w:ascii="Times New Roman" w:hAnsi="Times New Roman" w:cs="Times New Roman"/>
          <w:sz w:val="30"/>
          <w:szCs w:val="30"/>
        </w:rPr>
        <w:t>2023 г</w:t>
      </w:r>
      <w:r w:rsidR="001D2145">
        <w:rPr>
          <w:rFonts w:ascii="Times New Roman" w:hAnsi="Times New Roman" w:cs="Times New Roman"/>
          <w:sz w:val="30"/>
          <w:szCs w:val="30"/>
        </w:rPr>
        <w:t>од</w:t>
      </w:r>
      <w:r w:rsidR="00F017F9">
        <w:rPr>
          <w:rFonts w:ascii="Times New Roman" w:hAnsi="Times New Roman" w:cs="Times New Roman"/>
          <w:sz w:val="30"/>
          <w:szCs w:val="30"/>
        </w:rPr>
        <w:t>у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антимонопольных расследований составлено и направлено в суд </w:t>
      </w:r>
      <w:r w:rsidR="00F017F9">
        <w:rPr>
          <w:rFonts w:ascii="Times New Roman" w:hAnsi="Times New Roman" w:cs="Times New Roman"/>
          <w:sz w:val="30"/>
          <w:szCs w:val="30"/>
        </w:rPr>
        <w:t>21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протокол</w:t>
      </w:r>
      <w:r w:rsidR="00D625E7" w:rsidRPr="00226BE5">
        <w:rPr>
          <w:rFonts w:ascii="Times New Roman" w:hAnsi="Times New Roman" w:cs="Times New Roman"/>
          <w:sz w:val="30"/>
          <w:szCs w:val="30"/>
        </w:rPr>
        <w:t xml:space="preserve"> 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об административных правонарушениях в сфере антимонопольного регулирования, сумма штрафных санкций составила </w:t>
      </w:r>
      <w:r w:rsidR="00F017F9">
        <w:rPr>
          <w:rFonts w:ascii="Times New Roman" w:hAnsi="Times New Roman" w:cs="Times New Roman"/>
          <w:sz w:val="30"/>
          <w:szCs w:val="30"/>
        </w:rPr>
        <w:t>183,4</w:t>
      </w:r>
      <w:r w:rsidR="00132E67" w:rsidRPr="00226BE5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14:paraId="5A506602" w14:textId="7D4B3FBF" w:rsidR="00132E67" w:rsidRDefault="00132E67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BE5">
        <w:rPr>
          <w:rFonts w:ascii="Times New Roman" w:hAnsi="Times New Roman" w:cs="Times New Roman"/>
          <w:sz w:val="30"/>
          <w:szCs w:val="30"/>
        </w:rPr>
        <w:t>Кроме того, в качестве превентив</w:t>
      </w:r>
      <w:r w:rsidR="00226BE5">
        <w:rPr>
          <w:rFonts w:ascii="Times New Roman" w:hAnsi="Times New Roman" w:cs="Times New Roman"/>
          <w:sz w:val="30"/>
          <w:szCs w:val="30"/>
        </w:rPr>
        <w:t xml:space="preserve">ных мер </w:t>
      </w:r>
      <w:r w:rsidR="00F017F9">
        <w:rPr>
          <w:rFonts w:ascii="Times New Roman" w:hAnsi="Times New Roman" w:cs="Times New Roman"/>
          <w:sz w:val="30"/>
          <w:szCs w:val="30"/>
        </w:rPr>
        <w:t xml:space="preserve">в </w:t>
      </w:r>
      <w:r w:rsidR="00226BE5">
        <w:rPr>
          <w:rFonts w:ascii="Times New Roman" w:hAnsi="Times New Roman" w:cs="Times New Roman"/>
          <w:sz w:val="30"/>
          <w:szCs w:val="30"/>
        </w:rPr>
        <w:t>2023 </w:t>
      </w:r>
      <w:r w:rsidRPr="00226BE5">
        <w:rPr>
          <w:rFonts w:ascii="Times New Roman" w:hAnsi="Times New Roman" w:cs="Times New Roman"/>
          <w:sz w:val="30"/>
          <w:szCs w:val="30"/>
        </w:rPr>
        <w:t>г</w:t>
      </w:r>
      <w:r w:rsidR="00580421">
        <w:rPr>
          <w:rFonts w:ascii="Times New Roman" w:hAnsi="Times New Roman" w:cs="Times New Roman"/>
          <w:sz w:val="30"/>
          <w:szCs w:val="30"/>
        </w:rPr>
        <w:t>од</w:t>
      </w:r>
      <w:r w:rsidR="00F017F9">
        <w:rPr>
          <w:rFonts w:ascii="Times New Roman" w:hAnsi="Times New Roman" w:cs="Times New Roman"/>
          <w:sz w:val="30"/>
          <w:szCs w:val="30"/>
        </w:rPr>
        <w:t>у</w:t>
      </w:r>
      <w:r w:rsidRPr="00226BE5">
        <w:rPr>
          <w:rFonts w:ascii="Times New Roman" w:hAnsi="Times New Roman" w:cs="Times New Roman"/>
          <w:sz w:val="30"/>
          <w:szCs w:val="30"/>
        </w:rPr>
        <w:t xml:space="preserve"> выдано </w:t>
      </w:r>
      <w:r w:rsidR="00F017F9">
        <w:rPr>
          <w:rFonts w:ascii="Times New Roman" w:hAnsi="Times New Roman" w:cs="Times New Roman"/>
          <w:sz w:val="30"/>
          <w:szCs w:val="30"/>
        </w:rPr>
        <w:t>8</w:t>
      </w:r>
      <w:r w:rsidRPr="00226BE5">
        <w:rPr>
          <w:rFonts w:ascii="Times New Roman" w:hAnsi="Times New Roman" w:cs="Times New Roman"/>
          <w:sz w:val="30"/>
          <w:szCs w:val="30"/>
        </w:rPr>
        <w:t xml:space="preserve"> предупреждени</w:t>
      </w:r>
      <w:r w:rsidR="00A076E2">
        <w:rPr>
          <w:rFonts w:ascii="Times New Roman" w:hAnsi="Times New Roman" w:cs="Times New Roman"/>
          <w:sz w:val="30"/>
          <w:szCs w:val="30"/>
        </w:rPr>
        <w:t>й</w:t>
      </w:r>
      <w:r w:rsidRPr="00226BE5">
        <w:rPr>
          <w:rFonts w:ascii="Times New Roman" w:hAnsi="Times New Roman" w:cs="Times New Roman"/>
          <w:sz w:val="30"/>
          <w:szCs w:val="30"/>
        </w:rPr>
        <w:t>.</w:t>
      </w:r>
    </w:p>
    <w:p w14:paraId="59663BC2" w14:textId="77777777" w:rsidR="006B5692" w:rsidRPr="00226BE5" w:rsidRDefault="001D2145" w:rsidP="006B569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2145">
        <w:rPr>
          <w:rFonts w:ascii="Times New Roman" w:hAnsi="Times New Roman" w:cs="Times New Roman"/>
          <w:sz w:val="30"/>
          <w:szCs w:val="30"/>
        </w:rPr>
        <w:t>Выданные предупреждения, как правило, сопровождаются пресс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D2145">
        <w:rPr>
          <w:rFonts w:ascii="Times New Roman" w:hAnsi="Times New Roman" w:cs="Times New Roman"/>
          <w:sz w:val="30"/>
          <w:szCs w:val="30"/>
        </w:rPr>
        <w:t>релизами на сайте МАРТ.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B5692" w:rsidRPr="006B5692">
        <w:rPr>
          <w:rFonts w:ascii="Times New Roman" w:hAnsi="Times New Roman" w:cs="Times New Roman"/>
          <w:sz w:val="30"/>
          <w:szCs w:val="30"/>
        </w:rPr>
        <w:t>Ознакомиться с подробностями по некоторым</w:t>
      </w:r>
      <w:r w:rsidR="006B5692">
        <w:rPr>
          <w:rFonts w:ascii="Times New Roman" w:hAnsi="Times New Roman" w:cs="Times New Roman"/>
          <w:sz w:val="30"/>
          <w:szCs w:val="30"/>
        </w:rPr>
        <w:t xml:space="preserve"> </w:t>
      </w:r>
      <w:r w:rsidR="006B5692" w:rsidRPr="006B5692">
        <w:rPr>
          <w:rFonts w:ascii="Times New Roman" w:hAnsi="Times New Roman" w:cs="Times New Roman"/>
          <w:sz w:val="30"/>
          <w:szCs w:val="30"/>
        </w:rPr>
        <w:t xml:space="preserve">из них можно пройдя </w:t>
      </w:r>
      <w:hyperlink r:id="rId5" w:history="1">
        <w:r w:rsidR="006B5692" w:rsidRPr="006B5692">
          <w:rPr>
            <w:rStyle w:val="a5"/>
            <w:rFonts w:ascii="Times New Roman" w:hAnsi="Times New Roman" w:cs="Times New Roman"/>
            <w:sz w:val="30"/>
            <w:szCs w:val="30"/>
          </w:rPr>
          <w:t>по ссылке.</w:t>
        </w:r>
      </w:hyperlink>
    </w:p>
    <w:p w14:paraId="1095EB66" w14:textId="26B41931" w:rsidR="005F3F19" w:rsidRPr="00121927" w:rsidRDefault="00132E67" w:rsidP="005F3F19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</w:pPr>
      <w:r w:rsidRPr="00226BE5">
        <w:rPr>
          <w:rFonts w:ascii="Times New Roman" w:hAnsi="Times New Roman" w:cs="Times New Roman"/>
          <w:sz w:val="30"/>
          <w:szCs w:val="30"/>
        </w:rPr>
        <w:t>В рамках осуществления государственного контроля за экономической концентрацией из</w:t>
      </w:r>
      <w:r w:rsidR="006B5692">
        <w:rPr>
          <w:rFonts w:ascii="Times New Roman" w:hAnsi="Times New Roman" w:cs="Times New Roman"/>
          <w:sz w:val="30"/>
          <w:szCs w:val="30"/>
        </w:rPr>
        <w:t xml:space="preserve"> </w:t>
      </w:r>
      <w:r w:rsidR="00F017F9">
        <w:rPr>
          <w:rFonts w:ascii="Times New Roman" w:hAnsi="Times New Roman" w:cs="Times New Roman"/>
          <w:sz w:val="30"/>
          <w:szCs w:val="30"/>
        </w:rPr>
        <w:t>356</w:t>
      </w:r>
      <w:r w:rsidRPr="00226BE5">
        <w:rPr>
          <w:rFonts w:ascii="Times New Roman" w:hAnsi="Times New Roman" w:cs="Times New Roman"/>
          <w:sz w:val="30"/>
          <w:szCs w:val="30"/>
        </w:rPr>
        <w:t xml:space="preserve"> рассмотренных заявлений согласовано </w:t>
      </w:r>
      <w:r w:rsidR="00F017F9">
        <w:rPr>
          <w:rFonts w:ascii="Times New Roman" w:hAnsi="Times New Roman" w:cs="Times New Roman"/>
          <w:sz w:val="30"/>
          <w:szCs w:val="30"/>
        </w:rPr>
        <w:t>225</w:t>
      </w:r>
      <w:r w:rsidR="005F3F19">
        <w:rPr>
          <w:rFonts w:ascii="Times New Roman" w:hAnsi="Times New Roman" w:cs="Times New Roman"/>
          <w:sz w:val="30"/>
          <w:szCs w:val="30"/>
        </w:rPr>
        <w:t xml:space="preserve">, </w:t>
      </w:r>
      <w:r w:rsidR="005F3F19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а также рассмотрено </w:t>
      </w:r>
      <w:r w:rsidR="00F017F9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>127</w:t>
      </w:r>
      <w:r w:rsidR="005F3F19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 уведомлений об экономической концентрации.</w:t>
      </w:r>
    </w:p>
    <w:p w14:paraId="63799539" w14:textId="4AD4A0FD" w:rsidR="00442A91" w:rsidRPr="00226BE5" w:rsidRDefault="00132E67" w:rsidP="006B569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6BE5">
        <w:rPr>
          <w:rFonts w:ascii="Times New Roman" w:hAnsi="Times New Roman" w:cs="Times New Roman"/>
          <w:sz w:val="30"/>
          <w:szCs w:val="30"/>
        </w:rPr>
        <w:t xml:space="preserve">Для оценки уровня монополизации в </w:t>
      </w:r>
      <w:r w:rsidR="00A076E2">
        <w:rPr>
          <w:rFonts w:ascii="Times New Roman" w:hAnsi="Times New Roman" w:cs="Times New Roman"/>
          <w:sz w:val="30"/>
          <w:szCs w:val="30"/>
        </w:rPr>
        <w:t>отчетном периоде</w:t>
      </w:r>
      <w:r w:rsidRPr="00226BE5">
        <w:rPr>
          <w:rFonts w:ascii="Times New Roman" w:hAnsi="Times New Roman" w:cs="Times New Roman"/>
          <w:sz w:val="30"/>
          <w:szCs w:val="30"/>
        </w:rPr>
        <w:t xml:space="preserve"> 2023 г</w:t>
      </w:r>
      <w:r w:rsidR="00580421">
        <w:rPr>
          <w:rFonts w:ascii="Times New Roman" w:hAnsi="Times New Roman" w:cs="Times New Roman"/>
          <w:sz w:val="30"/>
          <w:szCs w:val="30"/>
        </w:rPr>
        <w:t>ода</w:t>
      </w:r>
      <w:r w:rsidRPr="00226BE5">
        <w:rPr>
          <w:rFonts w:ascii="Times New Roman" w:hAnsi="Times New Roman" w:cs="Times New Roman"/>
          <w:sz w:val="30"/>
          <w:szCs w:val="30"/>
        </w:rPr>
        <w:t xml:space="preserve"> проведен анализ состояния конкуренции на </w:t>
      </w:r>
      <w:r w:rsidR="000C623C">
        <w:rPr>
          <w:rFonts w:ascii="Times New Roman" w:hAnsi="Times New Roman" w:cs="Times New Roman"/>
          <w:sz w:val="30"/>
          <w:szCs w:val="30"/>
        </w:rPr>
        <w:t>8</w:t>
      </w:r>
      <w:r w:rsidRPr="00226BE5">
        <w:rPr>
          <w:rFonts w:ascii="Times New Roman" w:hAnsi="Times New Roman" w:cs="Times New Roman"/>
          <w:sz w:val="30"/>
          <w:szCs w:val="30"/>
        </w:rPr>
        <w:t xml:space="preserve"> товарн</w:t>
      </w:r>
      <w:r w:rsidR="00D625E7" w:rsidRPr="00226BE5">
        <w:rPr>
          <w:rFonts w:ascii="Times New Roman" w:hAnsi="Times New Roman" w:cs="Times New Roman"/>
          <w:sz w:val="30"/>
          <w:szCs w:val="30"/>
        </w:rPr>
        <w:t>ых</w:t>
      </w:r>
      <w:r w:rsidRPr="00226BE5">
        <w:rPr>
          <w:rFonts w:ascii="Times New Roman" w:hAnsi="Times New Roman" w:cs="Times New Roman"/>
          <w:sz w:val="30"/>
          <w:szCs w:val="30"/>
        </w:rPr>
        <w:t xml:space="preserve"> рынк</w:t>
      </w:r>
      <w:r w:rsidR="00D625E7" w:rsidRPr="00226BE5">
        <w:rPr>
          <w:rFonts w:ascii="Times New Roman" w:hAnsi="Times New Roman" w:cs="Times New Roman"/>
          <w:sz w:val="30"/>
          <w:szCs w:val="30"/>
        </w:rPr>
        <w:t>ах</w:t>
      </w:r>
      <w:r w:rsidRPr="00226BE5">
        <w:rPr>
          <w:rFonts w:ascii="Times New Roman" w:hAnsi="Times New Roman" w:cs="Times New Roman"/>
          <w:sz w:val="30"/>
          <w:szCs w:val="30"/>
        </w:rPr>
        <w:t>. По его результатам в Государственный реестр хозяйствующих субъектов, занимающих доминирующее положение на товарных рынках, включен</w:t>
      </w:r>
      <w:r w:rsidR="00A076E2">
        <w:rPr>
          <w:rFonts w:ascii="Times New Roman" w:hAnsi="Times New Roman" w:cs="Times New Roman"/>
          <w:sz w:val="30"/>
          <w:szCs w:val="30"/>
        </w:rPr>
        <w:t>о</w:t>
      </w:r>
      <w:r w:rsidRPr="00226BE5">
        <w:rPr>
          <w:rFonts w:ascii="Times New Roman" w:hAnsi="Times New Roman" w:cs="Times New Roman"/>
          <w:sz w:val="30"/>
          <w:szCs w:val="30"/>
        </w:rPr>
        <w:t xml:space="preserve"> </w:t>
      </w:r>
      <w:r w:rsidR="00226BE5">
        <w:rPr>
          <w:rFonts w:ascii="Times New Roman" w:hAnsi="Times New Roman" w:cs="Times New Roman"/>
          <w:sz w:val="30"/>
          <w:szCs w:val="30"/>
        </w:rPr>
        <w:br/>
      </w:r>
      <w:r w:rsidR="00F017F9">
        <w:rPr>
          <w:rFonts w:ascii="Times New Roman" w:hAnsi="Times New Roman" w:cs="Times New Roman"/>
          <w:sz w:val="30"/>
          <w:szCs w:val="30"/>
        </w:rPr>
        <w:t>7</w:t>
      </w:r>
      <w:r w:rsidRPr="00226BE5">
        <w:rPr>
          <w:rFonts w:ascii="Times New Roman" w:hAnsi="Times New Roman" w:cs="Times New Roman"/>
          <w:sz w:val="30"/>
          <w:szCs w:val="30"/>
        </w:rPr>
        <w:t xml:space="preserve"> хозяйствующи</w:t>
      </w:r>
      <w:r w:rsidR="00A076E2">
        <w:rPr>
          <w:rFonts w:ascii="Times New Roman" w:hAnsi="Times New Roman" w:cs="Times New Roman"/>
          <w:sz w:val="30"/>
          <w:szCs w:val="30"/>
        </w:rPr>
        <w:t>х</w:t>
      </w:r>
      <w:r w:rsidRPr="00226BE5">
        <w:rPr>
          <w:rFonts w:ascii="Times New Roman" w:hAnsi="Times New Roman" w:cs="Times New Roman"/>
          <w:sz w:val="30"/>
          <w:szCs w:val="30"/>
        </w:rPr>
        <w:t xml:space="preserve"> субъект</w:t>
      </w:r>
      <w:r w:rsidR="00F017F9">
        <w:rPr>
          <w:rFonts w:ascii="Times New Roman" w:hAnsi="Times New Roman" w:cs="Times New Roman"/>
          <w:sz w:val="30"/>
          <w:szCs w:val="30"/>
        </w:rPr>
        <w:t>ов</w:t>
      </w:r>
      <w:r w:rsidR="00A076E2">
        <w:rPr>
          <w:rFonts w:ascii="Times New Roman" w:hAnsi="Times New Roman" w:cs="Times New Roman"/>
          <w:sz w:val="30"/>
          <w:szCs w:val="30"/>
        </w:rPr>
        <w:t>, исключен</w:t>
      </w:r>
      <w:r w:rsidR="00180068">
        <w:rPr>
          <w:rFonts w:ascii="Times New Roman" w:hAnsi="Times New Roman" w:cs="Times New Roman"/>
          <w:sz w:val="30"/>
          <w:szCs w:val="30"/>
        </w:rPr>
        <w:t>о</w:t>
      </w:r>
      <w:r w:rsidR="00A076E2">
        <w:rPr>
          <w:rFonts w:ascii="Times New Roman" w:hAnsi="Times New Roman" w:cs="Times New Roman"/>
          <w:sz w:val="30"/>
          <w:szCs w:val="30"/>
        </w:rPr>
        <w:t xml:space="preserve"> – </w:t>
      </w:r>
      <w:r w:rsidR="00180068">
        <w:rPr>
          <w:rFonts w:ascii="Times New Roman" w:hAnsi="Times New Roman" w:cs="Times New Roman"/>
          <w:sz w:val="30"/>
          <w:szCs w:val="30"/>
        </w:rPr>
        <w:t>3</w:t>
      </w:r>
      <w:r w:rsidR="00A076E2">
        <w:rPr>
          <w:rFonts w:ascii="Times New Roman" w:hAnsi="Times New Roman" w:cs="Times New Roman"/>
          <w:sz w:val="30"/>
          <w:szCs w:val="30"/>
        </w:rPr>
        <w:t xml:space="preserve"> хозяйствующи</w:t>
      </w:r>
      <w:r w:rsidR="00180068">
        <w:rPr>
          <w:rFonts w:ascii="Times New Roman" w:hAnsi="Times New Roman" w:cs="Times New Roman"/>
          <w:sz w:val="30"/>
          <w:szCs w:val="30"/>
        </w:rPr>
        <w:t>х</w:t>
      </w:r>
      <w:r w:rsidR="00A076E2">
        <w:rPr>
          <w:rFonts w:ascii="Times New Roman" w:hAnsi="Times New Roman" w:cs="Times New Roman"/>
          <w:sz w:val="30"/>
          <w:szCs w:val="30"/>
        </w:rPr>
        <w:t xml:space="preserve"> субъект</w:t>
      </w:r>
      <w:r w:rsidR="00180068">
        <w:rPr>
          <w:rFonts w:ascii="Times New Roman" w:hAnsi="Times New Roman" w:cs="Times New Roman"/>
          <w:sz w:val="30"/>
          <w:szCs w:val="30"/>
        </w:rPr>
        <w:t>а</w:t>
      </w:r>
      <w:r w:rsidRPr="00226BE5">
        <w:rPr>
          <w:rFonts w:ascii="Times New Roman" w:hAnsi="Times New Roman" w:cs="Times New Roman"/>
          <w:sz w:val="30"/>
          <w:szCs w:val="30"/>
        </w:rPr>
        <w:t xml:space="preserve">, </w:t>
      </w:r>
      <w:r w:rsidR="001D2145">
        <w:rPr>
          <w:rFonts w:ascii="Times New Roman" w:hAnsi="Times New Roman" w:cs="Times New Roman"/>
          <w:sz w:val="30"/>
          <w:szCs w:val="30"/>
        </w:rPr>
        <w:t xml:space="preserve">в </w:t>
      </w:r>
      <w:r w:rsidR="006B5692" w:rsidRPr="006B5692">
        <w:rPr>
          <w:rFonts w:ascii="Times New Roman" w:hAnsi="Times New Roman" w:cs="Times New Roman"/>
          <w:sz w:val="30"/>
          <w:szCs w:val="30"/>
        </w:rPr>
        <w:t>Государственный реестр субъектов естественных монополий</w:t>
      </w:r>
      <w:r w:rsidR="006B5692">
        <w:rPr>
          <w:rFonts w:ascii="Times New Roman" w:hAnsi="Times New Roman" w:cs="Times New Roman"/>
          <w:sz w:val="30"/>
          <w:szCs w:val="30"/>
        </w:rPr>
        <w:t xml:space="preserve"> </w:t>
      </w:r>
      <w:r w:rsidR="006B5692" w:rsidRPr="006B5692">
        <w:rPr>
          <w:rFonts w:ascii="Times New Roman" w:hAnsi="Times New Roman" w:cs="Times New Roman"/>
          <w:sz w:val="30"/>
          <w:szCs w:val="30"/>
        </w:rPr>
        <w:t xml:space="preserve">включено </w:t>
      </w:r>
      <w:r w:rsidR="00180068">
        <w:rPr>
          <w:rFonts w:ascii="Times New Roman" w:hAnsi="Times New Roman" w:cs="Times New Roman"/>
          <w:sz w:val="30"/>
          <w:szCs w:val="30"/>
        </w:rPr>
        <w:br/>
      </w:r>
      <w:r w:rsidR="006B5692" w:rsidRPr="006B5692">
        <w:rPr>
          <w:rFonts w:ascii="Times New Roman" w:hAnsi="Times New Roman" w:cs="Times New Roman"/>
          <w:sz w:val="30"/>
          <w:szCs w:val="30"/>
        </w:rPr>
        <w:t>2 хозяйствующих субъекта</w:t>
      </w:r>
      <w:r w:rsidR="00A076E2">
        <w:rPr>
          <w:rFonts w:ascii="Times New Roman" w:hAnsi="Times New Roman" w:cs="Times New Roman"/>
          <w:sz w:val="30"/>
          <w:szCs w:val="30"/>
        </w:rPr>
        <w:t>, исключено – 2</w:t>
      </w:r>
      <w:r w:rsidR="006B5692">
        <w:rPr>
          <w:rFonts w:ascii="Times New Roman" w:hAnsi="Times New Roman" w:cs="Times New Roman"/>
          <w:sz w:val="30"/>
          <w:szCs w:val="30"/>
        </w:rPr>
        <w:t xml:space="preserve">.  </w:t>
      </w:r>
    </w:p>
    <w:sectPr w:rsidR="00442A91" w:rsidRPr="0022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F7"/>
    <w:rsid w:val="000C623C"/>
    <w:rsid w:val="00132E67"/>
    <w:rsid w:val="00180068"/>
    <w:rsid w:val="001968CA"/>
    <w:rsid w:val="001D2145"/>
    <w:rsid w:val="00226BE5"/>
    <w:rsid w:val="00285BFA"/>
    <w:rsid w:val="003E41BF"/>
    <w:rsid w:val="00442A91"/>
    <w:rsid w:val="00580421"/>
    <w:rsid w:val="005F3F19"/>
    <w:rsid w:val="006027A5"/>
    <w:rsid w:val="006B5692"/>
    <w:rsid w:val="007462A5"/>
    <w:rsid w:val="008D39B7"/>
    <w:rsid w:val="00A076E2"/>
    <w:rsid w:val="00A87B1A"/>
    <w:rsid w:val="00B258C5"/>
    <w:rsid w:val="00B93B02"/>
    <w:rsid w:val="00C86DF7"/>
    <w:rsid w:val="00D625E7"/>
    <w:rsid w:val="00F0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5380"/>
  <w15:docId w15:val="{4DE3EA3E-76C9-4B7C-A233-0AB23192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56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rt.gov.by/activity/antimonopolnoe-regulirovanie-i-konkurentsiya/predosterezhenie-i-preduprezhdenie/predosterezheniya-i-preduprezhdeniya-vydannye-mart-v-2023-godu/" TargetMode="External"/><Relationship Id="rId4" Type="http://schemas.openxmlformats.org/officeDocument/2006/relationships/hyperlink" Target="https://mart.gov.by/activity/antimonopolnoe-regulirovanie-i-konkurentsiya/komissiya-po-ustanovleniyu-fakta-nalichiya-otsutstviya-narusheniya-antimonopolnogo-zakonodate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Баранова Антоновна</dc:creator>
  <cp:lastModifiedBy>Мехедко Витория Андреевна</cp:lastModifiedBy>
  <cp:revision>2</cp:revision>
  <cp:lastPrinted>2023-10-06T07:21:00Z</cp:lastPrinted>
  <dcterms:created xsi:type="dcterms:W3CDTF">2024-01-16T08:51:00Z</dcterms:created>
  <dcterms:modified xsi:type="dcterms:W3CDTF">2024-01-16T08:51:00Z</dcterms:modified>
</cp:coreProperties>
</file>